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42" w:rsidRPr="00995247" w:rsidRDefault="008232C7" w:rsidP="008232C7">
      <w:pPr>
        <w:spacing w:line="240" w:lineRule="auto"/>
        <w:jc w:val="center"/>
        <w:rPr>
          <w:rFonts w:asciiTheme="minorHAnsi" w:hAnsiTheme="minorHAnsi" w:cs="Arial"/>
          <w:b/>
          <w:sz w:val="28"/>
          <w:szCs w:val="28"/>
        </w:rPr>
      </w:pPr>
      <w:bookmarkStart w:id="0" w:name="_Hlk482789597"/>
      <w:bookmarkEnd w:id="0"/>
      <w:r w:rsidRPr="00763516">
        <w:rPr>
          <w:rFonts w:asciiTheme="minorHAnsi" w:hAnsiTheme="minorHAnsi" w:cs="Arial"/>
          <w:b/>
          <w:sz w:val="36"/>
          <w:szCs w:val="20"/>
        </w:rPr>
        <w:t>IMPUESTO A LAS GANANCIAS</w:t>
      </w:r>
    </w:p>
    <w:p w:rsidR="00995247" w:rsidRPr="00995247" w:rsidRDefault="001C4383" w:rsidP="00995247">
      <w:pPr>
        <w:spacing w:line="240" w:lineRule="auto"/>
        <w:jc w:val="center"/>
        <w:rPr>
          <w:rFonts w:asciiTheme="minorHAnsi" w:hAnsiTheme="minorHAnsi" w:cs="Arial"/>
          <w:b/>
          <w:sz w:val="28"/>
          <w:szCs w:val="28"/>
        </w:rPr>
      </w:pPr>
      <w:r>
        <w:rPr>
          <w:rFonts w:asciiTheme="minorHAnsi" w:hAnsiTheme="minorHAnsi" w:cs="Arial"/>
          <w:b/>
          <w:szCs w:val="20"/>
        </w:rPr>
        <w:t xml:space="preserve">RG </w:t>
      </w:r>
      <w:r w:rsidR="00D85344">
        <w:rPr>
          <w:rFonts w:asciiTheme="minorHAnsi" w:hAnsiTheme="minorHAnsi" w:cs="Arial"/>
          <w:b/>
          <w:szCs w:val="20"/>
        </w:rPr>
        <w:t>4003</w:t>
      </w:r>
      <w:r w:rsidR="00B313AC">
        <w:rPr>
          <w:rFonts w:asciiTheme="minorHAnsi" w:hAnsiTheme="minorHAnsi" w:cs="Arial"/>
          <w:b/>
          <w:szCs w:val="20"/>
        </w:rPr>
        <w:t>/201</w:t>
      </w:r>
      <w:r w:rsidR="00D85344">
        <w:rPr>
          <w:rFonts w:asciiTheme="minorHAnsi" w:hAnsiTheme="minorHAnsi" w:cs="Arial"/>
          <w:b/>
          <w:szCs w:val="20"/>
        </w:rPr>
        <w:t>7</w:t>
      </w:r>
    </w:p>
    <w:p w:rsidR="00305627" w:rsidRDefault="00305627" w:rsidP="00305627">
      <w:pPr>
        <w:rPr>
          <w:rFonts w:asciiTheme="minorHAnsi" w:hAnsiTheme="minorHAnsi" w:cs="Arial"/>
          <w:b/>
          <w:szCs w:val="20"/>
        </w:rPr>
      </w:pPr>
    </w:p>
    <w:p w:rsidR="0001664C" w:rsidRDefault="0001664C" w:rsidP="00305627">
      <w:pPr>
        <w:rPr>
          <w:rFonts w:asciiTheme="minorHAnsi" w:hAnsiTheme="minorHAnsi" w:cs="Arial"/>
          <w:b/>
          <w:szCs w:val="20"/>
        </w:rPr>
      </w:pPr>
    </w:p>
    <w:p w:rsidR="00DA55D4" w:rsidRDefault="002116E2">
      <w:pPr>
        <w:pStyle w:val="TOC1"/>
        <w:tabs>
          <w:tab w:val="right" w:leader="dot" w:pos="9253"/>
        </w:tabs>
        <w:rPr>
          <w:rFonts w:asciiTheme="minorHAnsi" w:eastAsiaTheme="minorEastAsia" w:hAnsiTheme="minorHAnsi" w:cstheme="minorBidi"/>
          <w:noProof/>
          <w:lang w:eastAsia="es-AR"/>
        </w:rPr>
      </w:pPr>
      <w:r w:rsidRPr="00E90A0A">
        <w:rPr>
          <w:rStyle w:val="Hyperlink"/>
        </w:rPr>
        <w:fldChar w:fldCharType="begin"/>
      </w:r>
      <w:r w:rsidRPr="00E90A0A">
        <w:rPr>
          <w:rStyle w:val="Hyperlink"/>
        </w:rPr>
        <w:instrText xml:space="preserve"> TOC \o "1-4" \h \z \u </w:instrText>
      </w:r>
      <w:r w:rsidRPr="00E90A0A">
        <w:rPr>
          <w:rStyle w:val="Hyperlink"/>
        </w:rPr>
        <w:fldChar w:fldCharType="separate"/>
      </w:r>
      <w:hyperlink w:anchor="_Toc482721931" w:history="1">
        <w:r w:rsidR="00DA55D4" w:rsidRPr="00A66C08">
          <w:rPr>
            <w:rStyle w:val="Hyperlink"/>
            <w:noProof/>
          </w:rPr>
          <w:t>Consideraciones preliminares</w:t>
        </w:r>
        <w:r w:rsidR="00DA55D4">
          <w:rPr>
            <w:noProof/>
            <w:webHidden/>
          </w:rPr>
          <w:tab/>
        </w:r>
        <w:r w:rsidR="00DA55D4">
          <w:rPr>
            <w:noProof/>
            <w:webHidden/>
          </w:rPr>
          <w:fldChar w:fldCharType="begin"/>
        </w:r>
        <w:r w:rsidR="00DA55D4">
          <w:rPr>
            <w:noProof/>
            <w:webHidden/>
          </w:rPr>
          <w:instrText xml:space="preserve"> PAGEREF _Toc482721931 \h </w:instrText>
        </w:r>
        <w:r w:rsidR="00DA55D4">
          <w:rPr>
            <w:noProof/>
            <w:webHidden/>
          </w:rPr>
        </w:r>
        <w:r w:rsidR="00DA55D4">
          <w:rPr>
            <w:noProof/>
            <w:webHidden/>
          </w:rPr>
          <w:fldChar w:fldCharType="separate"/>
        </w:r>
        <w:r w:rsidR="00DA55D4">
          <w:rPr>
            <w:noProof/>
            <w:webHidden/>
          </w:rPr>
          <w:t>2</w:t>
        </w:r>
        <w:r w:rsidR="00DA55D4">
          <w:rPr>
            <w:noProof/>
            <w:webHidden/>
          </w:rPr>
          <w:fldChar w:fldCharType="end"/>
        </w:r>
      </w:hyperlink>
    </w:p>
    <w:p w:rsidR="00DA55D4" w:rsidRDefault="007C28E1">
      <w:pPr>
        <w:pStyle w:val="TOC1"/>
        <w:tabs>
          <w:tab w:val="right" w:leader="dot" w:pos="9253"/>
        </w:tabs>
        <w:rPr>
          <w:rFonts w:asciiTheme="minorHAnsi" w:eastAsiaTheme="minorEastAsia" w:hAnsiTheme="minorHAnsi" w:cstheme="minorBidi"/>
          <w:noProof/>
          <w:lang w:eastAsia="es-AR"/>
        </w:rPr>
      </w:pPr>
      <w:hyperlink w:anchor="_Toc482721932" w:history="1">
        <w:r w:rsidR="00DA55D4" w:rsidRPr="00A66C08">
          <w:rPr>
            <w:rStyle w:val="Hyperlink"/>
            <w:noProof/>
          </w:rPr>
          <w:t>Modificaciones que incluye el Hotfix</w:t>
        </w:r>
        <w:r w:rsidR="00DA55D4">
          <w:rPr>
            <w:noProof/>
            <w:webHidden/>
          </w:rPr>
          <w:tab/>
        </w:r>
        <w:r w:rsidR="00DA55D4">
          <w:rPr>
            <w:noProof/>
            <w:webHidden/>
          </w:rPr>
          <w:fldChar w:fldCharType="begin"/>
        </w:r>
        <w:r w:rsidR="00DA55D4">
          <w:rPr>
            <w:noProof/>
            <w:webHidden/>
          </w:rPr>
          <w:instrText xml:space="preserve"> PAGEREF _Toc482721932 \h </w:instrText>
        </w:r>
        <w:r w:rsidR="00DA55D4">
          <w:rPr>
            <w:noProof/>
            <w:webHidden/>
          </w:rPr>
        </w:r>
        <w:r w:rsidR="00DA55D4">
          <w:rPr>
            <w:noProof/>
            <w:webHidden/>
          </w:rPr>
          <w:fldChar w:fldCharType="separate"/>
        </w:r>
        <w:r w:rsidR="00DA55D4">
          <w:rPr>
            <w:noProof/>
            <w:webHidden/>
          </w:rPr>
          <w:t>3</w:t>
        </w:r>
        <w:r w:rsidR="00DA55D4">
          <w:rPr>
            <w:noProof/>
            <w:webHidden/>
          </w:rPr>
          <w:fldChar w:fldCharType="end"/>
        </w:r>
      </w:hyperlink>
    </w:p>
    <w:p w:rsidR="00DA55D4" w:rsidRDefault="007C28E1">
      <w:pPr>
        <w:pStyle w:val="TOC1"/>
        <w:tabs>
          <w:tab w:val="right" w:leader="dot" w:pos="9253"/>
        </w:tabs>
        <w:rPr>
          <w:rFonts w:asciiTheme="minorHAnsi" w:eastAsiaTheme="minorEastAsia" w:hAnsiTheme="minorHAnsi" w:cstheme="minorBidi"/>
          <w:noProof/>
          <w:lang w:eastAsia="es-AR"/>
        </w:rPr>
      </w:pPr>
      <w:hyperlink w:anchor="_Toc482721933" w:history="1">
        <w:r w:rsidR="00DA55D4" w:rsidRPr="00A66C08">
          <w:rPr>
            <w:rStyle w:val="Hyperlink"/>
            <w:noProof/>
          </w:rPr>
          <w:t>Implementación en Tango</w:t>
        </w:r>
        <w:r w:rsidR="00DA55D4">
          <w:rPr>
            <w:noProof/>
            <w:webHidden/>
          </w:rPr>
          <w:tab/>
        </w:r>
        <w:r w:rsidR="00DA55D4">
          <w:rPr>
            <w:noProof/>
            <w:webHidden/>
          </w:rPr>
          <w:fldChar w:fldCharType="begin"/>
        </w:r>
        <w:r w:rsidR="00DA55D4">
          <w:rPr>
            <w:noProof/>
            <w:webHidden/>
          </w:rPr>
          <w:instrText xml:space="preserve"> PAGEREF _Toc482721933 \h </w:instrText>
        </w:r>
        <w:r w:rsidR="00DA55D4">
          <w:rPr>
            <w:noProof/>
            <w:webHidden/>
          </w:rPr>
        </w:r>
        <w:r w:rsidR="00DA55D4">
          <w:rPr>
            <w:noProof/>
            <w:webHidden/>
          </w:rPr>
          <w:fldChar w:fldCharType="separate"/>
        </w:r>
        <w:r w:rsidR="00DA55D4">
          <w:rPr>
            <w:noProof/>
            <w:webHidden/>
          </w:rPr>
          <w:t>4</w:t>
        </w:r>
        <w:r w:rsidR="00DA55D4">
          <w:rPr>
            <w:noProof/>
            <w:webHidden/>
          </w:rPr>
          <w:fldChar w:fldCharType="end"/>
        </w:r>
      </w:hyperlink>
    </w:p>
    <w:p w:rsidR="00DA55D4" w:rsidRDefault="007C28E1">
      <w:pPr>
        <w:pStyle w:val="TOC2"/>
        <w:tabs>
          <w:tab w:val="right" w:leader="dot" w:pos="9253"/>
        </w:tabs>
        <w:rPr>
          <w:rFonts w:asciiTheme="minorHAnsi" w:eastAsiaTheme="minorEastAsia" w:hAnsiTheme="minorHAnsi" w:cstheme="minorBidi"/>
          <w:noProof/>
          <w:lang w:eastAsia="es-AR"/>
        </w:rPr>
      </w:pPr>
      <w:hyperlink w:anchor="_Toc482721934" w:history="1">
        <w:r w:rsidR="00DA55D4" w:rsidRPr="00A66C08">
          <w:rPr>
            <w:rStyle w:val="Hyperlink"/>
            <w:noProof/>
          </w:rPr>
          <w:t>Conceptos de liquidación</w:t>
        </w:r>
        <w:r w:rsidR="00DA55D4">
          <w:rPr>
            <w:noProof/>
            <w:webHidden/>
          </w:rPr>
          <w:tab/>
        </w:r>
        <w:r w:rsidR="00DA55D4">
          <w:rPr>
            <w:noProof/>
            <w:webHidden/>
          </w:rPr>
          <w:fldChar w:fldCharType="begin"/>
        </w:r>
        <w:r w:rsidR="00DA55D4">
          <w:rPr>
            <w:noProof/>
            <w:webHidden/>
          </w:rPr>
          <w:instrText xml:space="preserve"> PAGEREF _Toc482721934 \h </w:instrText>
        </w:r>
        <w:r w:rsidR="00DA55D4">
          <w:rPr>
            <w:noProof/>
            <w:webHidden/>
          </w:rPr>
        </w:r>
        <w:r w:rsidR="00DA55D4">
          <w:rPr>
            <w:noProof/>
            <w:webHidden/>
          </w:rPr>
          <w:fldChar w:fldCharType="separate"/>
        </w:r>
        <w:r w:rsidR="00DA55D4">
          <w:rPr>
            <w:noProof/>
            <w:webHidden/>
          </w:rPr>
          <w:t>4</w:t>
        </w:r>
        <w:r w:rsidR="00DA55D4">
          <w:rPr>
            <w:noProof/>
            <w:webHidden/>
          </w:rPr>
          <w:fldChar w:fldCharType="end"/>
        </w:r>
      </w:hyperlink>
    </w:p>
    <w:p w:rsidR="00DA55D4" w:rsidRDefault="007C28E1">
      <w:pPr>
        <w:pStyle w:val="TOC3"/>
        <w:rPr>
          <w:rFonts w:asciiTheme="minorHAnsi" w:eastAsiaTheme="minorEastAsia" w:hAnsiTheme="minorHAnsi" w:cstheme="minorBidi"/>
          <w:lang w:eastAsia="es-AR"/>
        </w:rPr>
      </w:pPr>
      <w:hyperlink w:anchor="_Toc482721935" w:history="1">
        <w:r w:rsidR="00DA55D4" w:rsidRPr="00A66C08">
          <w:rPr>
            <w:rStyle w:val="Hyperlink"/>
          </w:rPr>
          <w:t>Tipo de excepción ganancias</w:t>
        </w:r>
        <w:r w:rsidR="00DA55D4">
          <w:rPr>
            <w:webHidden/>
          </w:rPr>
          <w:tab/>
        </w:r>
        <w:r w:rsidR="00DA55D4">
          <w:rPr>
            <w:webHidden/>
          </w:rPr>
          <w:fldChar w:fldCharType="begin"/>
        </w:r>
        <w:r w:rsidR="00DA55D4">
          <w:rPr>
            <w:webHidden/>
          </w:rPr>
          <w:instrText xml:space="preserve"> PAGEREF _Toc482721935 \h </w:instrText>
        </w:r>
        <w:r w:rsidR="00DA55D4">
          <w:rPr>
            <w:webHidden/>
          </w:rPr>
        </w:r>
        <w:r w:rsidR="00DA55D4">
          <w:rPr>
            <w:webHidden/>
          </w:rPr>
          <w:fldChar w:fldCharType="separate"/>
        </w:r>
        <w:r w:rsidR="00DA55D4">
          <w:rPr>
            <w:webHidden/>
          </w:rPr>
          <w:t>4</w:t>
        </w:r>
        <w:r w:rsidR="00DA55D4">
          <w:rPr>
            <w:webHidden/>
          </w:rPr>
          <w:fldChar w:fldCharType="end"/>
        </w:r>
      </w:hyperlink>
    </w:p>
    <w:p w:rsidR="00DA55D4" w:rsidRDefault="007C28E1">
      <w:pPr>
        <w:pStyle w:val="TOC3"/>
        <w:rPr>
          <w:rFonts w:asciiTheme="minorHAnsi" w:eastAsiaTheme="minorEastAsia" w:hAnsiTheme="minorHAnsi" w:cstheme="minorBidi"/>
          <w:lang w:eastAsia="es-AR"/>
        </w:rPr>
      </w:pPr>
      <w:hyperlink w:anchor="_Toc482721936" w:history="1">
        <w:r w:rsidR="00DA55D4" w:rsidRPr="00A66C08">
          <w:rPr>
            <w:rStyle w:val="Hyperlink"/>
          </w:rPr>
          <w:t>Tipo de concepto de ganancias</w:t>
        </w:r>
        <w:r w:rsidR="00DA55D4">
          <w:rPr>
            <w:webHidden/>
          </w:rPr>
          <w:tab/>
        </w:r>
        <w:r w:rsidR="00DA55D4">
          <w:rPr>
            <w:webHidden/>
          </w:rPr>
          <w:fldChar w:fldCharType="begin"/>
        </w:r>
        <w:r w:rsidR="00DA55D4">
          <w:rPr>
            <w:webHidden/>
          </w:rPr>
          <w:instrText xml:space="preserve"> PAGEREF _Toc482721936 \h </w:instrText>
        </w:r>
        <w:r w:rsidR="00DA55D4">
          <w:rPr>
            <w:webHidden/>
          </w:rPr>
        </w:r>
        <w:r w:rsidR="00DA55D4">
          <w:rPr>
            <w:webHidden/>
          </w:rPr>
          <w:fldChar w:fldCharType="separate"/>
        </w:r>
        <w:r w:rsidR="00DA55D4">
          <w:rPr>
            <w:webHidden/>
          </w:rPr>
          <w:t>4</w:t>
        </w:r>
        <w:r w:rsidR="00DA55D4">
          <w:rPr>
            <w:webHidden/>
          </w:rPr>
          <w:fldChar w:fldCharType="end"/>
        </w:r>
      </w:hyperlink>
    </w:p>
    <w:p w:rsidR="00DA55D4" w:rsidRDefault="007C28E1">
      <w:pPr>
        <w:pStyle w:val="TOC3"/>
        <w:rPr>
          <w:rFonts w:asciiTheme="minorHAnsi" w:eastAsiaTheme="minorEastAsia" w:hAnsiTheme="minorHAnsi" w:cstheme="minorBidi"/>
          <w:lang w:eastAsia="es-AR"/>
        </w:rPr>
      </w:pPr>
      <w:hyperlink w:anchor="_Toc482721937" w:history="1">
        <w:r w:rsidR="00DA55D4" w:rsidRPr="00A66C08">
          <w:rPr>
            <w:rStyle w:val="Hyperlink"/>
          </w:rPr>
          <w:t>Retribución habitual</w:t>
        </w:r>
        <w:r w:rsidR="00DA55D4">
          <w:rPr>
            <w:webHidden/>
          </w:rPr>
          <w:tab/>
        </w:r>
        <w:r w:rsidR="00DA55D4">
          <w:rPr>
            <w:webHidden/>
          </w:rPr>
          <w:fldChar w:fldCharType="begin"/>
        </w:r>
        <w:r w:rsidR="00DA55D4">
          <w:rPr>
            <w:webHidden/>
          </w:rPr>
          <w:instrText xml:space="preserve"> PAGEREF _Toc482721937 \h </w:instrText>
        </w:r>
        <w:r w:rsidR="00DA55D4">
          <w:rPr>
            <w:webHidden/>
          </w:rPr>
        </w:r>
        <w:r w:rsidR="00DA55D4">
          <w:rPr>
            <w:webHidden/>
          </w:rPr>
          <w:fldChar w:fldCharType="separate"/>
        </w:r>
        <w:r w:rsidR="00DA55D4">
          <w:rPr>
            <w:webHidden/>
          </w:rPr>
          <w:t>5</w:t>
        </w:r>
        <w:r w:rsidR="00DA55D4">
          <w:rPr>
            <w:webHidden/>
          </w:rPr>
          <w:fldChar w:fldCharType="end"/>
        </w:r>
      </w:hyperlink>
    </w:p>
    <w:p w:rsidR="00DA55D4" w:rsidRDefault="007C28E1">
      <w:pPr>
        <w:pStyle w:val="TOC3"/>
        <w:rPr>
          <w:rFonts w:asciiTheme="minorHAnsi" w:eastAsiaTheme="minorEastAsia" w:hAnsiTheme="minorHAnsi" w:cstheme="minorBidi"/>
          <w:lang w:eastAsia="es-AR"/>
        </w:rPr>
      </w:pPr>
      <w:hyperlink w:anchor="_Toc482721938" w:history="1">
        <w:r w:rsidR="00DA55D4" w:rsidRPr="00A66C08">
          <w:rPr>
            <w:rStyle w:val="Hyperlink"/>
          </w:rPr>
          <w:t>Retenciones aplicables al concepto</w:t>
        </w:r>
        <w:r w:rsidR="00DA55D4">
          <w:rPr>
            <w:webHidden/>
          </w:rPr>
          <w:tab/>
        </w:r>
        <w:r w:rsidR="00DA55D4">
          <w:rPr>
            <w:webHidden/>
          </w:rPr>
          <w:fldChar w:fldCharType="begin"/>
        </w:r>
        <w:r w:rsidR="00DA55D4">
          <w:rPr>
            <w:webHidden/>
          </w:rPr>
          <w:instrText xml:space="preserve"> PAGEREF _Toc482721938 \h </w:instrText>
        </w:r>
        <w:r w:rsidR="00DA55D4">
          <w:rPr>
            <w:webHidden/>
          </w:rPr>
        </w:r>
        <w:r w:rsidR="00DA55D4">
          <w:rPr>
            <w:webHidden/>
          </w:rPr>
          <w:fldChar w:fldCharType="separate"/>
        </w:r>
        <w:r w:rsidR="00DA55D4">
          <w:rPr>
            <w:webHidden/>
          </w:rPr>
          <w:t>5</w:t>
        </w:r>
        <w:r w:rsidR="00DA55D4">
          <w:rPr>
            <w:webHidden/>
          </w:rPr>
          <w:fldChar w:fldCharType="end"/>
        </w:r>
      </w:hyperlink>
    </w:p>
    <w:p w:rsidR="00DA55D4" w:rsidRDefault="007C28E1">
      <w:pPr>
        <w:pStyle w:val="TOC2"/>
        <w:tabs>
          <w:tab w:val="right" w:leader="dot" w:pos="9253"/>
        </w:tabs>
        <w:rPr>
          <w:rFonts w:asciiTheme="minorHAnsi" w:eastAsiaTheme="minorEastAsia" w:hAnsiTheme="minorHAnsi" w:cstheme="minorBidi"/>
          <w:noProof/>
          <w:lang w:eastAsia="es-AR"/>
        </w:rPr>
      </w:pPr>
      <w:hyperlink w:anchor="_Toc482721939" w:history="1">
        <w:r w:rsidR="00DA55D4" w:rsidRPr="00A66C08">
          <w:rPr>
            <w:rStyle w:val="Hyperlink"/>
            <w:noProof/>
          </w:rPr>
          <w:t>Configuración de datos fijos</w:t>
        </w:r>
        <w:r w:rsidR="00DA55D4">
          <w:rPr>
            <w:noProof/>
            <w:webHidden/>
          </w:rPr>
          <w:tab/>
        </w:r>
        <w:r w:rsidR="00DA55D4">
          <w:rPr>
            <w:noProof/>
            <w:webHidden/>
          </w:rPr>
          <w:fldChar w:fldCharType="begin"/>
        </w:r>
        <w:r w:rsidR="00DA55D4">
          <w:rPr>
            <w:noProof/>
            <w:webHidden/>
          </w:rPr>
          <w:instrText xml:space="preserve"> PAGEREF _Toc482721939 \h </w:instrText>
        </w:r>
        <w:r w:rsidR="00DA55D4">
          <w:rPr>
            <w:noProof/>
            <w:webHidden/>
          </w:rPr>
        </w:r>
        <w:r w:rsidR="00DA55D4">
          <w:rPr>
            <w:noProof/>
            <w:webHidden/>
          </w:rPr>
          <w:fldChar w:fldCharType="separate"/>
        </w:r>
        <w:r w:rsidR="00DA55D4">
          <w:rPr>
            <w:noProof/>
            <w:webHidden/>
          </w:rPr>
          <w:t>6</w:t>
        </w:r>
        <w:r w:rsidR="00DA55D4">
          <w:rPr>
            <w:noProof/>
            <w:webHidden/>
          </w:rPr>
          <w:fldChar w:fldCharType="end"/>
        </w:r>
      </w:hyperlink>
    </w:p>
    <w:p w:rsidR="00DA55D4" w:rsidRDefault="007C28E1">
      <w:pPr>
        <w:pStyle w:val="TOC3"/>
        <w:rPr>
          <w:rFonts w:asciiTheme="minorHAnsi" w:eastAsiaTheme="minorEastAsia" w:hAnsiTheme="minorHAnsi" w:cstheme="minorBidi"/>
          <w:lang w:eastAsia="es-AR"/>
        </w:rPr>
      </w:pPr>
      <w:hyperlink w:anchor="_Toc482721940" w:history="1">
        <w:r w:rsidR="00DA55D4" w:rsidRPr="00A66C08">
          <w:rPr>
            <w:rStyle w:val="Hyperlink"/>
          </w:rPr>
          <w:t>Tipo de SAC</w:t>
        </w:r>
        <w:r w:rsidR="00DA55D4">
          <w:rPr>
            <w:webHidden/>
          </w:rPr>
          <w:tab/>
        </w:r>
        <w:r w:rsidR="00DA55D4">
          <w:rPr>
            <w:webHidden/>
          </w:rPr>
          <w:fldChar w:fldCharType="begin"/>
        </w:r>
        <w:r w:rsidR="00DA55D4">
          <w:rPr>
            <w:webHidden/>
          </w:rPr>
          <w:instrText xml:space="preserve"> PAGEREF _Toc482721940 \h </w:instrText>
        </w:r>
        <w:r w:rsidR="00DA55D4">
          <w:rPr>
            <w:webHidden/>
          </w:rPr>
        </w:r>
        <w:r w:rsidR="00DA55D4">
          <w:rPr>
            <w:webHidden/>
          </w:rPr>
          <w:fldChar w:fldCharType="separate"/>
        </w:r>
        <w:r w:rsidR="00DA55D4">
          <w:rPr>
            <w:webHidden/>
          </w:rPr>
          <w:t>6</w:t>
        </w:r>
        <w:r w:rsidR="00DA55D4">
          <w:rPr>
            <w:webHidden/>
          </w:rPr>
          <w:fldChar w:fldCharType="end"/>
        </w:r>
      </w:hyperlink>
    </w:p>
    <w:p w:rsidR="00DA55D4" w:rsidRDefault="007C28E1">
      <w:pPr>
        <w:pStyle w:val="TOC1"/>
        <w:tabs>
          <w:tab w:val="right" w:leader="dot" w:pos="9253"/>
        </w:tabs>
        <w:rPr>
          <w:rFonts w:asciiTheme="minorHAnsi" w:eastAsiaTheme="minorEastAsia" w:hAnsiTheme="minorHAnsi" w:cstheme="minorBidi"/>
          <w:noProof/>
          <w:lang w:eastAsia="es-AR"/>
        </w:rPr>
      </w:pPr>
      <w:hyperlink w:anchor="_Toc482721941" w:history="1">
        <w:r w:rsidR="00DA55D4" w:rsidRPr="00A66C08">
          <w:rPr>
            <w:rStyle w:val="Hyperlink"/>
            <w:noProof/>
          </w:rPr>
          <w:t>Ejemplos</w:t>
        </w:r>
        <w:r w:rsidR="00DA55D4">
          <w:rPr>
            <w:noProof/>
            <w:webHidden/>
          </w:rPr>
          <w:tab/>
        </w:r>
        <w:r w:rsidR="00DA55D4">
          <w:rPr>
            <w:noProof/>
            <w:webHidden/>
          </w:rPr>
          <w:fldChar w:fldCharType="begin"/>
        </w:r>
        <w:r w:rsidR="00DA55D4">
          <w:rPr>
            <w:noProof/>
            <w:webHidden/>
          </w:rPr>
          <w:instrText xml:space="preserve"> PAGEREF _Toc482721941 \h </w:instrText>
        </w:r>
        <w:r w:rsidR="00DA55D4">
          <w:rPr>
            <w:noProof/>
            <w:webHidden/>
          </w:rPr>
        </w:r>
        <w:r w:rsidR="00DA55D4">
          <w:rPr>
            <w:noProof/>
            <w:webHidden/>
          </w:rPr>
          <w:fldChar w:fldCharType="separate"/>
        </w:r>
        <w:r w:rsidR="00DA55D4">
          <w:rPr>
            <w:noProof/>
            <w:webHidden/>
          </w:rPr>
          <w:t>6</w:t>
        </w:r>
        <w:r w:rsidR="00DA55D4">
          <w:rPr>
            <w:noProof/>
            <w:webHidden/>
          </w:rPr>
          <w:fldChar w:fldCharType="end"/>
        </w:r>
      </w:hyperlink>
    </w:p>
    <w:p w:rsidR="00DA55D4" w:rsidRDefault="007C28E1">
      <w:pPr>
        <w:pStyle w:val="TOC2"/>
        <w:tabs>
          <w:tab w:val="right" w:leader="dot" w:pos="9253"/>
        </w:tabs>
        <w:rPr>
          <w:rFonts w:asciiTheme="minorHAnsi" w:eastAsiaTheme="minorEastAsia" w:hAnsiTheme="minorHAnsi" w:cstheme="minorBidi"/>
          <w:noProof/>
          <w:lang w:eastAsia="es-AR"/>
        </w:rPr>
      </w:pPr>
      <w:hyperlink w:anchor="_Toc482721942" w:history="1">
        <w:r w:rsidR="00DA55D4" w:rsidRPr="00A66C08">
          <w:rPr>
            <w:rStyle w:val="Hyperlink"/>
            <w:noProof/>
          </w:rPr>
          <w:t>Caso práctico 1 (liquidación de horas extras no habituales desglosadas)</w:t>
        </w:r>
        <w:r w:rsidR="00DA55D4">
          <w:rPr>
            <w:noProof/>
            <w:webHidden/>
          </w:rPr>
          <w:tab/>
        </w:r>
        <w:r w:rsidR="00DA55D4">
          <w:rPr>
            <w:noProof/>
            <w:webHidden/>
          </w:rPr>
          <w:fldChar w:fldCharType="begin"/>
        </w:r>
        <w:r w:rsidR="00DA55D4">
          <w:rPr>
            <w:noProof/>
            <w:webHidden/>
          </w:rPr>
          <w:instrText xml:space="preserve"> PAGEREF _Toc482721942 \h </w:instrText>
        </w:r>
        <w:r w:rsidR="00DA55D4">
          <w:rPr>
            <w:noProof/>
            <w:webHidden/>
          </w:rPr>
        </w:r>
        <w:r w:rsidR="00DA55D4">
          <w:rPr>
            <w:noProof/>
            <w:webHidden/>
          </w:rPr>
          <w:fldChar w:fldCharType="separate"/>
        </w:r>
        <w:r w:rsidR="00DA55D4">
          <w:rPr>
            <w:noProof/>
            <w:webHidden/>
          </w:rPr>
          <w:t>7</w:t>
        </w:r>
        <w:r w:rsidR="00DA55D4">
          <w:rPr>
            <w:noProof/>
            <w:webHidden/>
          </w:rPr>
          <w:fldChar w:fldCharType="end"/>
        </w:r>
      </w:hyperlink>
    </w:p>
    <w:p w:rsidR="00DA55D4" w:rsidRDefault="007C28E1">
      <w:pPr>
        <w:pStyle w:val="TOC2"/>
        <w:tabs>
          <w:tab w:val="right" w:leader="dot" w:pos="9253"/>
        </w:tabs>
        <w:rPr>
          <w:rFonts w:asciiTheme="minorHAnsi" w:eastAsiaTheme="minorEastAsia" w:hAnsiTheme="minorHAnsi" w:cstheme="minorBidi"/>
          <w:noProof/>
          <w:lang w:eastAsia="es-AR"/>
        </w:rPr>
      </w:pPr>
      <w:hyperlink w:anchor="_Toc482721943" w:history="1">
        <w:r w:rsidR="00DA55D4" w:rsidRPr="00A66C08">
          <w:rPr>
            <w:rStyle w:val="Hyperlink"/>
            <w:noProof/>
          </w:rPr>
          <w:t>Caso práctico 2 (liquidación de horas extras no habituales en un único concepto)</w:t>
        </w:r>
        <w:r w:rsidR="00DA55D4">
          <w:rPr>
            <w:noProof/>
            <w:webHidden/>
          </w:rPr>
          <w:tab/>
        </w:r>
        <w:r w:rsidR="00DA55D4">
          <w:rPr>
            <w:noProof/>
            <w:webHidden/>
          </w:rPr>
          <w:fldChar w:fldCharType="begin"/>
        </w:r>
        <w:r w:rsidR="00DA55D4">
          <w:rPr>
            <w:noProof/>
            <w:webHidden/>
          </w:rPr>
          <w:instrText xml:space="preserve"> PAGEREF _Toc482721943 \h </w:instrText>
        </w:r>
        <w:r w:rsidR="00DA55D4">
          <w:rPr>
            <w:noProof/>
            <w:webHidden/>
          </w:rPr>
        </w:r>
        <w:r w:rsidR="00DA55D4">
          <w:rPr>
            <w:noProof/>
            <w:webHidden/>
          </w:rPr>
          <w:fldChar w:fldCharType="separate"/>
        </w:r>
        <w:r w:rsidR="00DA55D4">
          <w:rPr>
            <w:noProof/>
            <w:webHidden/>
          </w:rPr>
          <w:t>7</w:t>
        </w:r>
        <w:r w:rsidR="00DA55D4">
          <w:rPr>
            <w:noProof/>
            <w:webHidden/>
          </w:rPr>
          <w:fldChar w:fldCharType="end"/>
        </w:r>
      </w:hyperlink>
    </w:p>
    <w:p w:rsidR="00263B97" w:rsidRPr="00E90A0A" w:rsidRDefault="002116E2" w:rsidP="00E90A0A">
      <w:pPr>
        <w:pStyle w:val="TOC3"/>
        <w:rPr>
          <w:rStyle w:val="Hyperlink"/>
        </w:rPr>
      </w:pPr>
      <w:r w:rsidRPr="00E90A0A">
        <w:rPr>
          <w:rStyle w:val="Hyperlink"/>
        </w:rPr>
        <w:fldChar w:fldCharType="end"/>
      </w:r>
    </w:p>
    <w:p w:rsidR="00305627" w:rsidRPr="00E90A0A" w:rsidRDefault="00305627" w:rsidP="00E90A0A">
      <w:pPr>
        <w:pStyle w:val="TOC3"/>
        <w:rPr>
          <w:rStyle w:val="Hyperlink"/>
        </w:rPr>
      </w:pPr>
    </w:p>
    <w:p w:rsidR="00763516" w:rsidRDefault="00763516">
      <w:pPr>
        <w:spacing w:after="0" w:line="240" w:lineRule="auto"/>
        <w:rPr>
          <w:rFonts w:asciiTheme="majorHAnsi" w:eastAsiaTheme="majorEastAsia" w:hAnsiTheme="majorHAnsi" w:cstheme="majorBidi"/>
          <w:b/>
          <w:bCs/>
          <w:color w:val="365F91" w:themeColor="accent1" w:themeShade="BF"/>
          <w:sz w:val="28"/>
          <w:szCs w:val="28"/>
        </w:rPr>
      </w:pPr>
      <w:r>
        <w:br w:type="page"/>
      </w:r>
    </w:p>
    <w:p w:rsidR="00305627" w:rsidRDefault="00763516" w:rsidP="00305627">
      <w:pPr>
        <w:pStyle w:val="Heading1"/>
      </w:pPr>
      <w:bookmarkStart w:id="1" w:name="_Toc420581780"/>
      <w:bookmarkStart w:id="2" w:name="_Toc482721931"/>
      <w:r w:rsidRPr="0064422C">
        <w:lastRenderedPageBreak/>
        <w:t xml:space="preserve">Consideraciones </w:t>
      </w:r>
      <w:r>
        <w:t>p</w:t>
      </w:r>
      <w:r w:rsidRPr="0064422C">
        <w:t>reliminares</w:t>
      </w:r>
      <w:bookmarkEnd w:id="1"/>
      <w:bookmarkEnd w:id="2"/>
    </w:p>
    <w:p w:rsidR="00C52B2A" w:rsidRDefault="00C52B2A" w:rsidP="00390FE2">
      <w:pPr>
        <w:spacing w:after="0" w:line="240" w:lineRule="auto"/>
        <w:rPr>
          <w:rFonts w:asciiTheme="minorHAnsi" w:hAnsiTheme="minorHAnsi" w:cs="Arial"/>
          <w:szCs w:val="20"/>
        </w:rPr>
      </w:pPr>
    </w:p>
    <w:p w:rsidR="00DE48CC" w:rsidRDefault="00903F0D" w:rsidP="0001664C">
      <w:r>
        <w:t xml:space="preserve">La </w:t>
      </w:r>
      <w:r w:rsidR="00F405A1">
        <w:t xml:space="preserve">RG 4003/17 </w:t>
      </w:r>
      <w:r w:rsidR="00CF5A44" w:rsidRPr="0001664C">
        <w:t xml:space="preserve">establece </w:t>
      </w:r>
      <w:r w:rsidR="00F405A1">
        <w:t xml:space="preserve">ciertas modificaciones en el procedimiento del cálculo del impuesto a las ganancias: </w:t>
      </w:r>
    </w:p>
    <w:p w:rsidR="00A91503" w:rsidRDefault="00A91503" w:rsidP="0001664C">
      <w:pPr>
        <w:rPr>
          <w:rFonts w:ascii="Arial" w:hAnsi="Arial" w:cs="Arial"/>
          <w:color w:val="000000"/>
          <w:sz w:val="18"/>
          <w:szCs w:val="18"/>
        </w:rPr>
      </w:pPr>
      <w:r>
        <w:rPr>
          <w:rFonts w:ascii="Arial" w:hAnsi="Arial" w:cs="Arial"/>
          <w:color w:val="000000"/>
          <w:sz w:val="18"/>
          <w:szCs w:val="18"/>
        </w:rPr>
        <w:t>ANEXO II (Artículo 7°)</w:t>
      </w:r>
    </w:p>
    <w:p w:rsidR="0081248B" w:rsidRDefault="0081248B" w:rsidP="0001664C">
      <w:r>
        <w:rPr>
          <w:rFonts w:ascii="Arial" w:hAnsi="Arial" w:cs="Arial"/>
          <w:color w:val="000000"/>
          <w:sz w:val="18"/>
          <w:szCs w:val="18"/>
        </w:rPr>
        <w:t>B - RETRIBUCIONES NO HABITUALES</w:t>
      </w:r>
      <w:r>
        <w:rPr>
          <w:rFonts w:ascii="Arial" w:hAnsi="Arial" w:cs="Arial"/>
          <w:color w:val="000000"/>
          <w:sz w:val="18"/>
          <w:szCs w:val="18"/>
        </w:rPr>
        <w:br/>
        <w:t>El importe bruto de los conceptos abonados que no conforman la remuneración habitual mensual de los beneficiarios, tales como plus vacacional, ajustes de haberes de años anteriores respecto de los cuales el beneficiario opte por hacer la imputación al período de la percepción, gratificaciones extraordinarias, etc. -excepto Sueldo Anual Complementario-, deberá ser imputado por los agentes de retención en forma proporcional al mes de pago y los meses que resten, hasta concluir el año fiscal en curso.</w:t>
      </w:r>
      <w:r>
        <w:rPr>
          <w:rFonts w:ascii="Arial" w:hAnsi="Arial" w:cs="Arial"/>
          <w:color w:val="000000"/>
          <w:sz w:val="18"/>
          <w:szCs w:val="18"/>
        </w:rPr>
        <w:br/>
        <w:t>Lo dispuesto en el párrafo anterior, podrá ser aplicado opcionalmente por el agente de retención, cuando el importe de los conceptos no habituales sea inferior al VEINTE POR CIENTO (20%) de la remuneración bruta habitual del beneficiario, correspondiente al mes de pago.</w:t>
      </w:r>
      <w:r>
        <w:rPr>
          <w:rFonts w:ascii="Arial" w:hAnsi="Arial" w:cs="Arial"/>
          <w:color w:val="000000"/>
          <w:sz w:val="18"/>
          <w:szCs w:val="18"/>
        </w:rPr>
        <w:br/>
        <w:t>En el supuesto en que en uno o más períodos mensuales no se le efectuaren pagos al beneficiario, los importes diferidos aludidos en el primer párrafo, que correspondía computar en la liquidación del impuesto de dichos meses, se acumularán a los correspondientes al mes siguiente -dentro del año fiscal- en el que se efectúe el pago de remuneraciones al beneficiario. En su caso, de no haber pagos en el resto del año fiscal, los importes diferidos no imputados deberán considerarse en la liquidación anual a que se refiere el inciso a) del Artículo 21.</w:t>
      </w:r>
      <w:r>
        <w:rPr>
          <w:rFonts w:ascii="Arial" w:hAnsi="Arial" w:cs="Arial"/>
          <w:color w:val="000000"/>
          <w:sz w:val="18"/>
          <w:szCs w:val="18"/>
        </w:rPr>
        <w:br/>
        <w:t>Lo dispuesto precedentemente, no será de aplicación:</w:t>
      </w:r>
      <w:r>
        <w:rPr>
          <w:rFonts w:ascii="Arial" w:hAnsi="Arial" w:cs="Arial"/>
          <w:color w:val="000000"/>
          <w:sz w:val="18"/>
          <w:szCs w:val="18"/>
        </w:rPr>
        <w:br/>
        <w:t>a) Cuando el pago de las remuneraciones no habituales se efectuara en un mes en el que correspondiera realizar la liquidación final que prevé el inciso b) del Artículo 21 -por concluir la relación laboral -, en cuyo caso en tal mes se deberá, asimismo, imputar las sumas que hubieran sido diferidas en meses anteriores.</w:t>
      </w:r>
      <w:r>
        <w:rPr>
          <w:rFonts w:ascii="Arial" w:hAnsi="Arial" w:cs="Arial"/>
          <w:color w:val="000000"/>
          <w:sz w:val="18"/>
          <w:szCs w:val="18"/>
        </w:rPr>
        <w:br/>
        <w:t>b) Respecto de los conceptos que, aun siendo variables y pagados en lapsos irregulares -por la característica de la actividad desarrollada por el beneficiario-, constituyen la contraprestación por su trabajo (por ejemplo: comisiones por ventas, honorarios, etc.).</w:t>
      </w:r>
      <w:r>
        <w:rPr>
          <w:rFonts w:ascii="Arial" w:hAnsi="Arial" w:cs="Arial"/>
          <w:color w:val="000000"/>
          <w:sz w:val="18"/>
          <w:szCs w:val="18"/>
        </w:rPr>
        <w:br/>
        <w:t>c) Cuando en el período mensual en que se abona la remuneración no habitual se prevea que, en los meses que resten hasta concluir el año fiscal en curso, habrá imposibilidad de practicar el total de las retenciones que correspondan al período fiscal, en virtud de:</w:t>
      </w:r>
      <w:r>
        <w:rPr>
          <w:rFonts w:ascii="Arial" w:hAnsi="Arial" w:cs="Arial"/>
          <w:color w:val="000000"/>
          <w:sz w:val="18"/>
          <w:szCs w:val="18"/>
        </w:rPr>
        <w:br/>
        <w:t>1. La magnitud del importe de las remuneraciones habituales resultante de la consideración de cláusulas contractuales o de convenios de trabajo, o de otros hechos evaluables al momento del pago, y/o</w:t>
      </w:r>
      <w:r>
        <w:rPr>
          <w:rFonts w:ascii="Arial" w:hAnsi="Arial" w:cs="Arial"/>
          <w:color w:val="000000"/>
          <w:sz w:val="18"/>
          <w:szCs w:val="18"/>
        </w:rPr>
        <w:br/>
        <w:t xml:space="preserve">2. la limitación que con relación a los referidos meses y a los fines de practicar las retenciones del impuesto a las ganancias, significa el tope que establece la Resolución </w:t>
      </w:r>
      <w:proofErr w:type="spellStart"/>
      <w:r>
        <w:rPr>
          <w:rFonts w:ascii="Arial" w:hAnsi="Arial" w:cs="Arial"/>
          <w:color w:val="000000"/>
          <w:sz w:val="18"/>
          <w:szCs w:val="18"/>
        </w:rPr>
        <w:t>N°</w:t>
      </w:r>
      <w:proofErr w:type="spellEnd"/>
      <w:r>
        <w:rPr>
          <w:rFonts w:ascii="Arial" w:hAnsi="Arial" w:cs="Arial"/>
          <w:color w:val="000000"/>
          <w:sz w:val="18"/>
          <w:szCs w:val="18"/>
        </w:rPr>
        <w:t> 436 (MTESS) del 25 de junio de 2004, o la que la sustituya o modifique en el futuro.</w:t>
      </w:r>
    </w:p>
    <w:p w:rsidR="00367DA4" w:rsidRDefault="004E235D" w:rsidP="0001664C">
      <w:pPr>
        <w:rPr>
          <w:rFonts w:ascii="Arial" w:hAnsi="Arial" w:cs="Arial"/>
          <w:color w:val="000000"/>
          <w:sz w:val="18"/>
          <w:szCs w:val="18"/>
        </w:rPr>
      </w:pPr>
      <w:r>
        <w:rPr>
          <w:rFonts w:ascii="Arial" w:hAnsi="Arial" w:cs="Arial"/>
          <w:color w:val="000000"/>
          <w:sz w:val="18"/>
          <w:szCs w:val="18"/>
        </w:rPr>
        <w:t>F - ESCALA DEL ARTÍCULO 90 DE LA LEY DE IMPUESTO A LAS GANANCIAS, TEXTO ORDENADO EN 1997 Y SUS MODIFICACIONES</w:t>
      </w:r>
      <w:r>
        <w:rPr>
          <w:rFonts w:ascii="Arial" w:hAnsi="Arial" w:cs="Arial"/>
          <w:color w:val="000000"/>
          <w:sz w:val="18"/>
          <w:szCs w:val="18"/>
        </w:rPr>
        <w:br/>
        <w:t>El importe a retener se determinará aplicando a la ganancia neta sujeta a impuesto, la escala del Artículo 90 de la Ley de Impuesto a las Ganancias, texto ordenado en 1997 y sus modificaciones, según la tabla que anualmente será difundida por este Organismo a través de su sitio “web” (http://www.afip.gob.ar), acumulada para el mes en el que se efectúe el pago.</w:t>
      </w:r>
      <w:r>
        <w:rPr>
          <w:rFonts w:ascii="Arial" w:hAnsi="Arial" w:cs="Arial"/>
          <w:color w:val="000000"/>
          <w:sz w:val="18"/>
          <w:szCs w:val="18"/>
        </w:rPr>
        <w:br/>
        <w:t>Conforme lo previsto en el párrafo séptimo del referido artículo, al sólo efecto de determinar el tramo de “ganancia neta imponible acumulada” que corresponde aplicar para el mes que se liquida, deberá restarse de la ganancia neta sujeta a impuesto, el importe neto correspondiente a las horas extras que resulten gravadas.</w:t>
      </w:r>
    </w:p>
    <w:p w:rsidR="0081248B" w:rsidRDefault="0081248B" w:rsidP="0001664C">
      <w:pPr>
        <w:rPr>
          <w:rFonts w:ascii="Arial" w:hAnsi="Arial" w:cs="Arial"/>
          <w:color w:val="000000"/>
          <w:sz w:val="18"/>
          <w:szCs w:val="18"/>
        </w:rPr>
      </w:pPr>
    </w:p>
    <w:p w:rsidR="0081248B" w:rsidRDefault="0081248B" w:rsidP="0001664C">
      <w:pPr>
        <w:rPr>
          <w:rFonts w:ascii="Arial" w:hAnsi="Arial" w:cs="Arial"/>
          <w:color w:val="000000"/>
          <w:sz w:val="18"/>
          <w:szCs w:val="18"/>
        </w:rPr>
      </w:pPr>
    </w:p>
    <w:p w:rsidR="004634E5" w:rsidRDefault="004634E5" w:rsidP="0001664C">
      <w:pPr>
        <w:rPr>
          <w:rFonts w:ascii="Arial" w:hAnsi="Arial" w:cs="Arial"/>
          <w:color w:val="000000"/>
          <w:sz w:val="18"/>
          <w:szCs w:val="18"/>
        </w:rPr>
      </w:pPr>
    </w:p>
    <w:p w:rsidR="0081248B" w:rsidRDefault="0081248B" w:rsidP="0001664C">
      <w:pPr>
        <w:rPr>
          <w:rFonts w:ascii="Arial" w:hAnsi="Arial" w:cs="Arial"/>
          <w:color w:val="000000"/>
          <w:sz w:val="18"/>
          <w:szCs w:val="18"/>
        </w:rPr>
      </w:pPr>
    </w:p>
    <w:p w:rsidR="0081248B" w:rsidRDefault="0081248B" w:rsidP="0001664C">
      <w:pPr>
        <w:rPr>
          <w:rFonts w:ascii="Arial" w:hAnsi="Arial" w:cs="Arial"/>
          <w:color w:val="000000"/>
          <w:sz w:val="18"/>
          <w:szCs w:val="18"/>
        </w:rPr>
      </w:pPr>
    </w:p>
    <w:p w:rsidR="00D02369" w:rsidRDefault="00D02369" w:rsidP="0001664C">
      <w:pPr>
        <w:rPr>
          <w:rFonts w:ascii="Arial" w:hAnsi="Arial" w:cs="Arial"/>
          <w:color w:val="000000"/>
          <w:sz w:val="18"/>
          <w:szCs w:val="18"/>
        </w:rPr>
      </w:pPr>
      <w:r>
        <w:rPr>
          <w:rFonts w:ascii="Arial" w:hAnsi="Arial" w:cs="Arial"/>
          <w:color w:val="000000"/>
          <w:sz w:val="18"/>
          <w:szCs w:val="18"/>
        </w:rPr>
        <w:lastRenderedPageBreak/>
        <w:t>ANEXO III (Artículo 21º)</w:t>
      </w:r>
    </w:p>
    <w:p w:rsidR="00D02369" w:rsidRDefault="00D02369" w:rsidP="0001664C">
      <w:pPr>
        <w:rPr>
          <w:rFonts w:ascii="Arial" w:hAnsi="Arial" w:cs="Arial"/>
          <w:color w:val="000000"/>
          <w:sz w:val="18"/>
          <w:szCs w:val="18"/>
        </w:rPr>
      </w:pPr>
      <w:r>
        <w:rPr>
          <w:rFonts w:ascii="Arial" w:hAnsi="Arial" w:cs="Arial"/>
          <w:color w:val="000000"/>
          <w:sz w:val="18"/>
          <w:szCs w:val="18"/>
        </w:rPr>
        <w:t xml:space="preserve">LIQUIDACIÓN DE IMPUESTO A LAS GANANCIAS - 4ta. CATEGORÍA RELACIÓN DE DEPENDENCIA </w:t>
      </w:r>
    </w:p>
    <w:p w:rsidR="00D02369" w:rsidRPr="00D02369" w:rsidRDefault="00D02369" w:rsidP="00D02369">
      <w:pPr>
        <w:spacing w:after="0" w:line="270" w:lineRule="atLeast"/>
        <w:jc w:val="both"/>
        <w:textAlignment w:val="baseline"/>
        <w:rPr>
          <w:rFonts w:ascii="Arial" w:hAnsi="Arial" w:cs="Arial"/>
          <w:color w:val="000000"/>
          <w:sz w:val="18"/>
          <w:szCs w:val="18"/>
          <w:lang w:eastAsia="es-AR"/>
        </w:rPr>
      </w:pPr>
      <w:r w:rsidRPr="00D02369">
        <w:rPr>
          <w:rFonts w:ascii="Arial" w:hAnsi="Arial" w:cs="Arial"/>
          <w:color w:val="000000"/>
          <w:sz w:val="18"/>
          <w:szCs w:val="18"/>
          <w:lang w:eastAsia="es-AR"/>
        </w:rPr>
        <w:t>REMUNERACIONES</w:t>
      </w:r>
    </w:p>
    <w:tbl>
      <w:tblPr>
        <w:tblW w:w="10731" w:type="dxa"/>
        <w:tblCellMar>
          <w:top w:w="150" w:type="dxa"/>
          <w:left w:w="0" w:type="dxa"/>
          <w:bottom w:w="150" w:type="dxa"/>
          <w:right w:w="0" w:type="dxa"/>
        </w:tblCellMar>
        <w:tblLook w:val="04A0" w:firstRow="1" w:lastRow="0" w:firstColumn="1" w:lastColumn="0" w:noHBand="0" w:noVBand="1"/>
      </w:tblPr>
      <w:tblGrid>
        <w:gridCol w:w="10081"/>
        <w:gridCol w:w="650"/>
      </w:tblGrid>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Remuneración Bruta</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Retribuciones no Habituales</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SAC primera cuota</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SAC segunda cuota</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Remuneración no Alcanzada</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Remuneración Exenta (sin incluir horas extras)</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Remuneración Exenta Horas Extras</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Remuneración Otros Empleos</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r w:rsidR="00D02369" w:rsidRPr="00D02369" w:rsidTr="00D02369">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REMUNERACIÓN COMPUTABLE</w:t>
            </w:r>
          </w:p>
        </w:tc>
        <w:tc>
          <w:tcPr>
            <w:tcW w:w="0" w:type="auto"/>
            <w:shd w:val="clear" w:color="auto" w:fill="auto"/>
            <w:tcMar>
              <w:top w:w="75" w:type="dxa"/>
              <w:left w:w="75" w:type="dxa"/>
              <w:bottom w:w="75" w:type="dxa"/>
              <w:right w:w="75" w:type="dxa"/>
            </w:tcMar>
            <w:vAlign w:val="bottom"/>
            <w:hideMark/>
          </w:tcPr>
          <w:p w:rsidR="00D02369" w:rsidRPr="00D02369" w:rsidRDefault="00D02369" w:rsidP="00D02369">
            <w:pPr>
              <w:spacing w:after="0" w:line="240" w:lineRule="auto"/>
              <w:rPr>
                <w:rFonts w:ascii="Arial" w:hAnsi="Arial" w:cs="Arial"/>
                <w:color w:val="000000"/>
                <w:sz w:val="18"/>
                <w:szCs w:val="18"/>
                <w:lang w:eastAsia="es-AR"/>
              </w:rPr>
            </w:pPr>
            <w:r w:rsidRPr="00D02369">
              <w:rPr>
                <w:rFonts w:ascii="Arial" w:hAnsi="Arial" w:cs="Arial"/>
                <w:color w:val="000000"/>
                <w:sz w:val="18"/>
                <w:szCs w:val="18"/>
                <w:lang w:eastAsia="es-AR"/>
              </w:rPr>
              <w:t>$</w:t>
            </w:r>
          </w:p>
        </w:tc>
      </w:tr>
    </w:tbl>
    <w:p w:rsidR="00D02369" w:rsidRPr="0001664C" w:rsidRDefault="00D02369" w:rsidP="0001664C"/>
    <w:p w:rsidR="004A6BBF" w:rsidRDefault="00372C61" w:rsidP="004A6BBF">
      <w:pPr>
        <w:pStyle w:val="Heading1"/>
      </w:pPr>
      <w:bookmarkStart w:id="3" w:name="_Toc482721932"/>
      <w:r>
        <w:t xml:space="preserve">Modificaciones que incluye el </w:t>
      </w:r>
      <w:proofErr w:type="spellStart"/>
      <w:r w:rsidR="004A6BBF">
        <w:t>Hotfix</w:t>
      </w:r>
      <w:bookmarkEnd w:id="3"/>
      <w:proofErr w:type="spellEnd"/>
      <w:r w:rsidR="0023718C">
        <w:t xml:space="preserve"> </w:t>
      </w:r>
    </w:p>
    <w:p w:rsidR="00530036" w:rsidRDefault="00A67451" w:rsidP="004A6BBF">
      <w:r>
        <w:t>Debajo se incluye un</w:t>
      </w:r>
      <w:r w:rsidR="00D83140">
        <w:t xml:space="preserve"> resumen</w:t>
      </w:r>
      <w:r>
        <w:t xml:space="preserve"> de las modificaciones </w:t>
      </w:r>
      <w:r w:rsidR="001F4E60">
        <w:t xml:space="preserve">del </w:t>
      </w:r>
      <w:proofErr w:type="spellStart"/>
      <w:r w:rsidR="001F4E60">
        <w:t>Hotfix</w:t>
      </w:r>
      <w:proofErr w:type="spellEnd"/>
      <w:r w:rsidR="001F4E60">
        <w:t xml:space="preserve"> </w:t>
      </w:r>
      <w:r>
        <w:t xml:space="preserve">que </w:t>
      </w:r>
      <w:r w:rsidR="0023718C">
        <w:t xml:space="preserve">podrá descargar desde nuestra </w:t>
      </w:r>
      <w:hyperlink r:id="rId8" w:history="1">
        <w:r w:rsidR="0023718C" w:rsidRPr="005822FE">
          <w:rPr>
            <w:rStyle w:val="Hyperlink"/>
            <w:rFonts w:asciiTheme="minorHAnsi" w:hAnsiTheme="minorHAnsi" w:cs="Arial"/>
          </w:rPr>
          <w:t>zona de soporte</w:t>
        </w:r>
      </w:hyperlink>
      <w:r>
        <w:rPr>
          <w:rStyle w:val="Hyperlink"/>
          <w:rFonts w:asciiTheme="minorHAnsi" w:hAnsiTheme="minorHAnsi" w:cs="Arial"/>
          <w:szCs w:val="20"/>
        </w:rPr>
        <w:t>.</w:t>
      </w:r>
      <w:r>
        <w:t xml:space="preserve"> </w:t>
      </w:r>
    </w:p>
    <w:p w:rsidR="000E17EF" w:rsidRPr="000E17EF" w:rsidRDefault="000E17EF" w:rsidP="000E17EF">
      <w:pPr>
        <w:pStyle w:val="ListParagraph"/>
      </w:pPr>
    </w:p>
    <w:p w:rsidR="00530036" w:rsidRPr="000E17EF" w:rsidRDefault="00704D65" w:rsidP="00DD2B94">
      <w:pPr>
        <w:pStyle w:val="ListParagraph"/>
        <w:numPr>
          <w:ilvl w:val="0"/>
          <w:numId w:val="33"/>
        </w:numPr>
      </w:pPr>
      <w:r>
        <w:rPr>
          <w:b/>
        </w:rPr>
        <w:t>Conceptos de liquidación</w:t>
      </w:r>
      <w:r w:rsidR="00A67451" w:rsidRPr="000E17EF">
        <w:rPr>
          <w:b/>
        </w:rPr>
        <w:t>:</w:t>
      </w:r>
      <w:r w:rsidR="00A67451" w:rsidRPr="000E17EF">
        <w:t xml:space="preserve"> </w:t>
      </w:r>
    </w:p>
    <w:p w:rsidR="00530036" w:rsidRPr="000E17EF" w:rsidRDefault="00704D65" w:rsidP="00DD2B94">
      <w:pPr>
        <w:pStyle w:val="ListParagraph"/>
        <w:numPr>
          <w:ilvl w:val="1"/>
          <w:numId w:val="33"/>
        </w:numPr>
      </w:pPr>
      <w:r>
        <w:t>Nuevo tipo de excepción “Hora extra exenta”.</w:t>
      </w:r>
    </w:p>
    <w:p w:rsidR="00530036" w:rsidRPr="000E17EF" w:rsidRDefault="00704D65" w:rsidP="00DD2B94">
      <w:pPr>
        <w:pStyle w:val="ListParagraph"/>
        <w:numPr>
          <w:ilvl w:val="1"/>
          <w:numId w:val="33"/>
        </w:numPr>
      </w:pPr>
      <w:r>
        <w:t>Nuevos tipos de conceptos de ganancias “Hora extra habitual”, “Hora extra no habitual”.</w:t>
      </w:r>
    </w:p>
    <w:p w:rsidR="00D83140" w:rsidRPr="000E17EF" w:rsidRDefault="006850F0" w:rsidP="00DD2B94">
      <w:pPr>
        <w:pStyle w:val="ListParagraph"/>
        <w:numPr>
          <w:ilvl w:val="1"/>
          <w:numId w:val="33"/>
        </w:numPr>
      </w:pPr>
      <w:r>
        <w:t>Opción</w:t>
      </w:r>
      <w:r w:rsidR="00704D65">
        <w:t xml:space="preserve"> de </w:t>
      </w:r>
      <w:r w:rsidR="00CC161A">
        <w:t>“</w:t>
      </w:r>
      <w:r w:rsidR="00704D65">
        <w:t>Retribución habitual</w:t>
      </w:r>
      <w:r w:rsidR="00CC161A">
        <w:t>”</w:t>
      </w:r>
      <w:r w:rsidR="00704D65">
        <w:t>.</w:t>
      </w:r>
      <w:r w:rsidR="00A67451" w:rsidRPr="000E17EF">
        <w:t xml:space="preserve"> </w:t>
      </w:r>
    </w:p>
    <w:p w:rsidR="00D83140" w:rsidRPr="000E17EF" w:rsidRDefault="00704D65" w:rsidP="00DD2B94">
      <w:pPr>
        <w:pStyle w:val="ListParagraph"/>
        <w:numPr>
          <w:ilvl w:val="1"/>
          <w:numId w:val="33"/>
        </w:numPr>
      </w:pPr>
      <w:r>
        <w:t xml:space="preserve">Configuración de </w:t>
      </w:r>
      <w:r w:rsidR="00CC161A">
        <w:t>“R</w:t>
      </w:r>
      <w:r>
        <w:t>etenciones aplicables al concepto</w:t>
      </w:r>
      <w:r w:rsidR="00CC161A">
        <w:t>”</w:t>
      </w:r>
      <w:r>
        <w:t>.</w:t>
      </w:r>
    </w:p>
    <w:p w:rsidR="00704D65" w:rsidRPr="00704D65" w:rsidRDefault="00704D65" w:rsidP="00704D65">
      <w:pPr>
        <w:pStyle w:val="ListParagraph"/>
      </w:pPr>
    </w:p>
    <w:p w:rsidR="00CC161A" w:rsidRDefault="00CC161A" w:rsidP="003773F1">
      <w:pPr>
        <w:pStyle w:val="ListParagraph"/>
        <w:numPr>
          <w:ilvl w:val="0"/>
          <w:numId w:val="33"/>
        </w:numPr>
      </w:pPr>
      <w:r w:rsidRPr="00CC161A">
        <w:rPr>
          <w:b/>
        </w:rPr>
        <w:t>Datos fijos de la liquidación</w:t>
      </w:r>
      <w:r w:rsidR="002818F4" w:rsidRPr="00CC161A">
        <w:rPr>
          <w:b/>
        </w:rPr>
        <w:t>:</w:t>
      </w:r>
      <w:r w:rsidR="002818F4" w:rsidRPr="000E17EF">
        <w:t xml:space="preserve"> </w:t>
      </w:r>
    </w:p>
    <w:p w:rsidR="00CC161A" w:rsidRPr="000E17EF" w:rsidRDefault="00CC161A" w:rsidP="00CC161A">
      <w:pPr>
        <w:pStyle w:val="ListParagraph"/>
        <w:numPr>
          <w:ilvl w:val="1"/>
          <w:numId w:val="33"/>
        </w:numPr>
      </w:pPr>
      <w:r>
        <w:t>Se incorpora el “Tipo de SAC”.</w:t>
      </w:r>
    </w:p>
    <w:p w:rsidR="00CC161A" w:rsidRDefault="00CC161A" w:rsidP="00CC161A">
      <w:pPr>
        <w:pStyle w:val="ListParagraph"/>
      </w:pPr>
    </w:p>
    <w:p w:rsidR="0066425D" w:rsidRPr="0066425D" w:rsidRDefault="0066425D" w:rsidP="003773F1">
      <w:pPr>
        <w:pStyle w:val="ListParagraph"/>
        <w:numPr>
          <w:ilvl w:val="0"/>
          <w:numId w:val="33"/>
        </w:numPr>
      </w:pPr>
      <w:r>
        <w:rPr>
          <w:b/>
        </w:rPr>
        <w:t>Liquidación de conceptos</w:t>
      </w:r>
      <w:r w:rsidR="002818F4" w:rsidRPr="00CC161A">
        <w:rPr>
          <w:b/>
        </w:rPr>
        <w:t>:</w:t>
      </w:r>
    </w:p>
    <w:p w:rsidR="0066425D" w:rsidRPr="000E17EF" w:rsidRDefault="0066425D" w:rsidP="0066425D">
      <w:pPr>
        <w:pStyle w:val="ListParagraph"/>
        <w:numPr>
          <w:ilvl w:val="1"/>
          <w:numId w:val="33"/>
        </w:numPr>
      </w:pPr>
      <w:r>
        <w:t>Cambios en la liquidación del impuesto a las ganancias.</w:t>
      </w:r>
    </w:p>
    <w:p w:rsidR="0066425D" w:rsidRDefault="0066425D" w:rsidP="0066425D">
      <w:pPr>
        <w:pStyle w:val="ListParagraph"/>
        <w:rPr>
          <w:b/>
        </w:rPr>
      </w:pPr>
    </w:p>
    <w:p w:rsidR="002042BE" w:rsidRPr="0066425D" w:rsidRDefault="002042BE" w:rsidP="002042BE">
      <w:pPr>
        <w:pStyle w:val="ListParagraph"/>
        <w:numPr>
          <w:ilvl w:val="0"/>
          <w:numId w:val="33"/>
        </w:numPr>
      </w:pPr>
      <w:r>
        <w:rPr>
          <w:b/>
        </w:rPr>
        <w:t>Informe de liquidación de ganancias</w:t>
      </w:r>
      <w:r w:rsidRPr="00CC161A">
        <w:rPr>
          <w:b/>
        </w:rPr>
        <w:t>:</w:t>
      </w:r>
    </w:p>
    <w:p w:rsidR="002042BE" w:rsidRPr="000E17EF" w:rsidRDefault="002042BE" w:rsidP="002042BE">
      <w:pPr>
        <w:pStyle w:val="ListParagraph"/>
        <w:numPr>
          <w:ilvl w:val="1"/>
          <w:numId w:val="33"/>
        </w:numPr>
      </w:pPr>
      <w:r>
        <w:t>Adaptación al nuevo formato.</w:t>
      </w:r>
    </w:p>
    <w:p w:rsidR="008B5EF8" w:rsidRDefault="008B5EF8" w:rsidP="000E17EF"/>
    <w:p w:rsidR="0066425D" w:rsidRDefault="0066425D" w:rsidP="000E17EF"/>
    <w:p w:rsidR="000E17EF" w:rsidRPr="00220408" w:rsidRDefault="00220408" w:rsidP="00220408">
      <w:pPr>
        <w:pBdr>
          <w:top w:val="single" w:sz="4" w:space="1" w:color="auto"/>
          <w:bottom w:val="single" w:sz="4" w:space="1" w:color="auto"/>
        </w:pBdr>
        <w:jc w:val="center"/>
        <w:rPr>
          <w:szCs w:val="20"/>
        </w:rPr>
      </w:pPr>
      <w:r w:rsidRPr="00220408">
        <w:rPr>
          <w:szCs w:val="20"/>
        </w:rPr>
        <w:t>D</w:t>
      </w:r>
      <w:r w:rsidR="000E17EF" w:rsidRPr="00220408">
        <w:rPr>
          <w:szCs w:val="20"/>
        </w:rPr>
        <w:t>ebe</w:t>
      </w:r>
      <w:r w:rsidRPr="00220408">
        <w:rPr>
          <w:szCs w:val="20"/>
        </w:rPr>
        <w:t>rá</w:t>
      </w:r>
      <w:r w:rsidR="000E17EF" w:rsidRPr="00220408">
        <w:rPr>
          <w:szCs w:val="20"/>
        </w:rPr>
        <w:t xml:space="preserve"> tener instalado</w:t>
      </w:r>
      <w:r w:rsidRPr="00220408">
        <w:rPr>
          <w:szCs w:val="20"/>
        </w:rPr>
        <w:t>s</w:t>
      </w:r>
      <w:r w:rsidR="000E17EF" w:rsidRPr="00220408">
        <w:rPr>
          <w:szCs w:val="20"/>
        </w:rPr>
        <w:t xml:space="preserve"> previamente </w:t>
      </w:r>
      <w:r w:rsidRPr="00220408">
        <w:rPr>
          <w:szCs w:val="20"/>
        </w:rPr>
        <w:t xml:space="preserve">los </w:t>
      </w:r>
      <w:proofErr w:type="spellStart"/>
      <w:r w:rsidR="000E17EF" w:rsidRPr="00220408">
        <w:rPr>
          <w:szCs w:val="20"/>
        </w:rPr>
        <w:t>Service</w:t>
      </w:r>
      <w:proofErr w:type="spellEnd"/>
      <w:r w:rsidR="000E17EF" w:rsidRPr="00220408">
        <w:rPr>
          <w:szCs w:val="20"/>
        </w:rPr>
        <w:t xml:space="preserve"> pack 1</w:t>
      </w:r>
      <w:r w:rsidR="00F65679" w:rsidRPr="00220408">
        <w:rPr>
          <w:szCs w:val="20"/>
        </w:rPr>
        <w:t>7</w:t>
      </w:r>
      <w:r w:rsidR="000E17EF" w:rsidRPr="00220408">
        <w:rPr>
          <w:szCs w:val="20"/>
        </w:rPr>
        <w:t>.01.000.</w:t>
      </w:r>
      <w:r w:rsidRPr="00220408">
        <w:rPr>
          <w:szCs w:val="20"/>
        </w:rPr>
        <w:t>0442 / 16.01.000.1920 según corresponda</w:t>
      </w:r>
    </w:p>
    <w:p w:rsidR="00DF741E" w:rsidRDefault="00DF741E" w:rsidP="00DF741E">
      <w:pPr>
        <w:pStyle w:val="Heading1"/>
      </w:pPr>
      <w:bookmarkStart w:id="4" w:name="_Toc482721933"/>
      <w:r>
        <w:lastRenderedPageBreak/>
        <w:t>Implementación en Tango</w:t>
      </w:r>
      <w:bookmarkEnd w:id="4"/>
    </w:p>
    <w:p w:rsidR="004057E1" w:rsidRDefault="004057E1" w:rsidP="004057E1">
      <w:r>
        <w:t xml:space="preserve">Hasta aquí podemos ver que se han introducido cambios en el </w:t>
      </w:r>
      <w:r w:rsidR="00831AF6">
        <w:t>cálculo</w:t>
      </w:r>
      <w:r>
        <w:t xml:space="preserve"> del impuesto </w:t>
      </w:r>
      <w:r w:rsidR="00831AF6">
        <w:t xml:space="preserve">(Liquidación de conceptos) </w:t>
      </w:r>
      <w:r>
        <w:t xml:space="preserve">y en la forma de </w:t>
      </w:r>
      <w:r w:rsidR="00831AF6">
        <w:t>exposición</w:t>
      </w:r>
      <w:r>
        <w:t xml:space="preserve"> del mismo</w:t>
      </w:r>
      <w:r w:rsidR="00831AF6">
        <w:t xml:space="preserve"> (Informe de liquidación de ganancias).</w:t>
      </w:r>
    </w:p>
    <w:p w:rsidR="00A21C31" w:rsidRDefault="00A21C31" w:rsidP="00A21C31">
      <w:pPr>
        <w:pStyle w:val="Heading3"/>
      </w:pPr>
      <w:bookmarkStart w:id="5" w:name="_Toc482721936"/>
      <w:bookmarkStart w:id="6" w:name="_Toc420581785"/>
      <w:r>
        <w:t>Conceptos de Liquidación</w:t>
      </w:r>
      <w:r>
        <w:br/>
        <w:t>Tipo de concepto de ganancias</w:t>
      </w:r>
      <w:bookmarkEnd w:id="5"/>
    </w:p>
    <w:p w:rsidR="00A21C31" w:rsidRDefault="00A21C31" w:rsidP="00A21C31">
      <w:r>
        <w:t xml:space="preserve">En este </w:t>
      </w:r>
      <w:r w:rsidR="009E42A2">
        <w:t>campo</w:t>
      </w:r>
      <w:r>
        <w:t xml:space="preserve"> se puede elegir el tipo de hora extra “Hora extra habitual” (ej. de lunes a viernes y sábados hasta las 13 Hs.) o bien “Hora extra no habitual” (ej. fines de semana, </w:t>
      </w:r>
      <w:r w:rsidR="009E42A2">
        <w:t>feriados o días no laborables).</w:t>
      </w:r>
      <w:r w:rsidR="009E42A2" w:rsidRPr="009E42A2">
        <w:t xml:space="preserve"> </w:t>
      </w:r>
      <w:r w:rsidR="009E42A2">
        <w:t>En ambos casos se habilita una grilla para seleccionar las retenciones que se aplican al concepto a fin de obtener en el cálculo el importe neto de las horas extras para determinar la escala del Art. 90 del impuesto que debe aplicarse.</w:t>
      </w:r>
      <w:r w:rsidR="00FD4CCF">
        <w:br/>
        <w:t>Si es una hora extra no habitual y se maneja en un solo concepto, es fundamental colocar el porcentaje de dicha hora extra en el campo “Porcentaje” de la pantalla.</w:t>
      </w:r>
      <w:r w:rsidR="009E42A2">
        <w:t xml:space="preserve">  </w:t>
      </w:r>
    </w:p>
    <w:p w:rsidR="00A21C31" w:rsidRDefault="00A21C31" w:rsidP="00A21C31">
      <w:r>
        <w:t>NOTA: Si el PLUS de la hora extra no habitual está en un concepto aparte, en todas las horas extras deberá colocar “Hora extra habitual” y</w:t>
      </w:r>
      <w:r w:rsidR="009E42A2">
        <w:t xml:space="preserve"> al plus, colocar como excepción para ganancias</w:t>
      </w:r>
      <w:r>
        <w:t xml:space="preserve"> </w:t>
      </w:r>
      <w:r w:rsidR="009E42A2">
        <w:t xml:space="preserve">el </w:t>
      </w:r>
      <w:r>
        <w:t>nuevo valor en “Tipo de excepción ganancias”</w:t>
      </w:r>
    </w:p>
    <w:p w:rsidR="00A21C31" w:rsidRPr="00A21C31" w:rsidRDefault="00A21C31" w:rsidP="004634E5">
      <w:pPr>
        <w:jc w:val="center"/>
      </w:pPr>
      <w:r>
        <w:rPr>
          <w:noProof/>
          <w:lang w:eastAsia="es-AR"/>
        </w:rPr>
        <w:drawing>
          <wp:inline distT="0" distB="0" distL="0" distR="0" wp14:anchorId="4861C6F1" wp14:editId="6A19E1A4">
            <wp:extent cx="4560125" cy="208420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224" cy="2097963"/>
                    </a:xfrm>
                    <a:prstGeom prst="rect">
                      <a:avLst/>
                    </a:prstGeom>
                    <a:noFill/>
                    <a:ln>
                      <a:noFill/>
                    </a:ln>
                  </pic:spPr>
                </pic:pic>
              </a:graphicData>
            </a:graphic>
          </wp:inline>
        </w:drawing>
      </w:r>
    </w:p>
    <w:p w:rsidR="00F313BD" w:rsidRDefault="002120A2" w:rsidP="00F313BD">
      <w:pPr>
        <w:pStyle w:val="Heading3"/>
      </w:pPr>
      <w:bookmarkStart w:id="7" w:name="_Toc482721935"/>
      <w:r>
        <w:t>Tipo de excepción ganancias</w:t>
      </w:r>
      <w:bookmarkEnd w:id="7"/>
      <w:r>
        <w:t xml:space="preserve"> </w:t>
      </w:r>
    </w:p>
    <w:p w:rsidR="00437B48" w:rsidRDefault="00437B48" w:rsidP="00437B48">
      <w:r>
        <w:t xml:space="preserve">Desde esta opción se puede elegir el tipo de excepción </w:t>
      </w:r>
      <w:r w:rsidR="00A21C31">
        <w:t xml:space="preserve">para el impuesto a las ganancias, </w:t>
      </w:r>
      <w:r>
        <w:t xml:space="preserve">para su exposición en el Informe de </w:t>
      </w:r>
      <w:r w:rsidR="00A21C31">
        <w:t>Liquidación</w:t>
      </w:r>
      <w:r>
        <w:t xml:space="preserve"> de Ganancias. </w:t>
      </w:r>
      <w:r w:rsidR="00A21C31">
        <w:t>E</w:t>
      </w:r>
      <w:r>
        <w:t>l nuevo comportamiento “Hora extra exenta”</w:t>
      </w:r>
      <w:r w:rsidR="00A21C31">
        <w:t>,</w:t>
      </w:r>
      <w:r>
        <w:t xml:space="preserve"> </w:t>
      </w:r>
      <w:r w:rsidR="00A21C31">
        <w:t xml:space="preserve">se debe elegir en el caso que calculemos el Plus de hora extra </w:t>
      </w:r>
      <w:r w:rsidR="009E42A2">
        <w:t xml:space="preserve">en día </w:t>
      </w:r>
      <w:r w:rsidR="00A21C31">
        <w:t>no hábil (ej. fines de semana, feriados o días no laborables), en un concepto aparte. De este modo, ese co</w:t>
      </w:r>
      <w:r w:rsidR="00FC5C24">
        <w:t>ncepto se expondrá en el campo “</w:t>
      </w:r>
      <w:r w:rsidR="00FC5C24" w:rsidRPr="00FC5C24">
        <w:t>Remuneración Exenta Horas Extras</w:t>
      </w:r>
      <w:r w:rsidR="00FC5C24">
        <w:t>”</w:t>
      </w:r>
      <w:r w:rsidR="00A21C31">
        <w:t xml:space="preserve"> del informe </w:t>
      </w:r>
      <w:r w:rsidR="009E42A2">
        <w:t>anteriormente mencionado.</w:t>
      </w:r>
    </w:p>
    <w:p w:rsidR="00C41262" w:rsidRDefault="001E5094" w:rsidP="004634E5">
      <w:pPr>
        <w:jc w:val="center"/>
      </w:pPr>
      <w:r>
        <w:rPr>
          <w:noProof/>
          <w:lang w:eastAsia="es-AR"/>
        </w:rPr>
        <w:drawing>
          <wp:inline distT="0" distB="0" distL="0" distR="0">
            <wp:extent cx="4506685" cy="2015957"/>
            <wp:effectExtent l="0" t="0" r="825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8218" cy="2025589"/>
                    </a:xfrm>
                    <a:prstGeom prst="rect">
                      <a:avLst/>
                    </a:prstGeom>
                    <a:noFill/>
                    <a:ln>
                      <a:noFill/>
                    </a:ln>
                  </pic:spPr>
                </pic:pic>
              </a:graphicData>
            </a:graphic>
          </wp:inline>
        </w:drawing>
      </w:r>
    </w:p>
    <w:p w:rsidR="00EE3658" w:rsidRDefault="00EE3658" w:rsidP="00EE3658">
      <w:pPr>
        <w:pStyle w:val="Heading3"/>
      </w:pPr>
      <w:bookmarkStart w:id="8" w:name="_Toc482721937"/>
      <w:bookmarkStart w:id="9" w:name="_Toc420581786"/>
      <w:bookmarkEnd w:id="6"/>
      <w:r>
        <w:lastRenderedPageBreak/>
        <w:t>Retribución habitual</w:t>
      </w:r>
      <w:bookmarkEnd w:id="8"/>
    </w:p>
    <w:p w:rsidR="00EE3658" w:rsidRDefault="00584C31" w:rsidP="00EE3658">
      <w:r>
        <w:t xml:space="preserve">Con esta opción se puede indicar </w:t>
      </w:r>
      <w:r w:rsidR="00E96EE9">
        <w:t xml:space="preserve">si el concepto es de tipo habitual, </w:t>
      </w:r>
      <w:r w:rsidR="00C43722">
        <w:t xml:space="preserve">de esta forma el importe liquidado formara parte de la ganancia bruta. En contraposición los conceptos que no estén marcados se expondrán en las ganancias no habituales </w:t>
      </w:r>
      <w:r w:rsidR="00E96EE9">
        <w:t xml:space="preserve">del </w:t>
      </w:r>
      <w:r w:rsidR="00C43722">
        <w:t>Informe de liquidación de ganancias</w:t>
      </w:r>
      <w:r w:rsidR="00E96EE9">
        <w:t>.</w:t>
      </w:r>
    </w:p>
    <w:p w:rsidR="00435AC4" w:rsidRDefault="00DE3A72" w:rsidP="004634E5">
      <w:pPr>
        <w:pStyle w:val="Heading3"/>
      </w:pPr>
      <w:bookmarkStart w:id="10" w:name="_Toc482721938"/>
      <w:r>
        <w:t>Retenciones aplicables al concepto</w:t>
      </w:r>
      <w:bookmarkEnd w:id="9"/>
      <w:bookmarkEnd w:id="10"/>
    </w:p>
    <w:p w:rsidR="00FD4CCF" w:rsidRDefault="00DE3A72" w:rsidP="00FD4CCF">
      <w:r>
        <w:t>A través de esta grilla se pueden seleccionar aq</w:t>
      </w:r>
      <w:r w:rsidR="004634E5">
        <w:t>uellas retenciones que afectan a la hora extra en cuestion</w:t>
      </w:r>
      <w:r>
        <w:t>, tenga en cuenta que el porcentaje que se aplicará es aquel que figure en el campo Porcentaje de</w:t>
      </w:r>
      <w:r w:rsidR="005A785B">
        <w:t>l concepto de</w:t>
      </w:r>
      <w:r>
        <w:t xml:space="preserve"> retención seleccionad</w:t>
      </w:r>
      <w:r w:rsidR="00C43722">
        <w:t>o</w:t>
      </w:r>
      <w:r w:rsidR="00681DDC">
        <w:t xml:space="preserve">. Esto es necesario, ya que, para el impuesto a las ganancias, debemos manejar los importes de las horas extras en valores netos. </w:t>
      </w:r>
      <w:r w:rsidR="004634E5">
        <w:br/>
      </w:r>
      <w:r w:rsidR="00681DDC">
        <w:t>V</w:t>
      </w:r>
      <w:r>
        <w:t>ale decir que</w:t>
      </w:r>
      <w:r w:rsidR="008642B9">
        <w:t>,</w:t>
      </w:r>
      <w:r>
        <w:t xml:space="preserve"> si el concepto resuelve el porcentaje de retención por formula, deberá ser desglosado para que cada concepto liquide un único porcentaje y este deberá</w:t>
      </w:r>
      <w:r w:rsidR="00934A2F">
        <w:t xml:space="preserve"> ser el del</w:t>
      </w:r>
      <w:r>
        <w:t xml:space="preserve"> campo diseñado para tal fin.</w:t>
      </w:r>
      <w:r w:rsidR="004634E5">
        <w:br/>
        <w:t>También es importante destacar, que el sistema va a comparar esta lista, contra los conceptos realmente liquidados y va a aplicar los porcentajes correspondientes a todos los conceptos que estén tanto en la grilla, como en la liquidación.</w:t>
      </w:r>
    </w:p>
    <w:p w:rsidR="00A355A1" w:rsidRDefault="004634E5" w:rsidP="00FD4CCF">
      <w:pPr>
        <w:jc w:val="center"/>
      </w:pPr>
      <w:r>
        <w:rPr>
          <w:noProof/>
          <w:lang w:eastAsia="es-AR"/>
        </w:rPr>
        <w:drawing>
          <wp:inline distT="0" distB="0" distL="0" distR="0">
            <wp:extent cx="3143250" cy="226069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291" cy="2270794"/>
                    </a:xfrm>
                    <a:prstGeom prst="rect">
                      <a:avLst/>
                    </a:prstGeom>
                    <a:noFill/>
                    <a:ln>
                      <a:noFill/>
                    </a:ln>
                  </pic:spPr>
                </pic:pic>
              </a:graphicData>
            </a:graphic>
          </wp:inline>
        </w:drawing>
      </w:r>
    </w:p>
    <w:p w:rsidR="00650EC0" w:rsidRDefault="002B586A" w:rsidP="00A21C31">
      <w:pPr>
        <w:pStyle w:val="Heading2"/>
      </w:pPr>
      <w:bookmarkStart w:id="11" w:name="_Toc482721939"/>
      <w:r>
        <w:t>Configuración de datos fijos</w:t>
      </w:r>
      <w:bookmarkStart w:id="12" w:name="_Toc482721940"/>
      <w:bookmarkStart w:id="13" w:name="_Toc420581787"/>
      <w:bookmarkStart w:id="14" w:name="_Toc444182607"/>
      <w:bookmarkEnd w:id="11"/>
      <w:r w:rsidR="00A21C31">
        <w:br/>
      </w:r>
      <w:r w:rsidR="00A94777">
        <w:t>Tipo de SAC</w:t>
      </w:r>
      <w:bookmarkEnd w:id="12"/>
    </w:p>
    <w:p w:rsidR="009C42CB" w:rsidRPr="009C42CB" w:rsidRDefault="00F0009C" w:rsidP="00A94777">
      <w:pPr>
        <w:rPr>
          <w:i/>
        </w:rPr>
      </w:pPr>
      <w:r>
        <w:t>Desde aquí se</w:t>
      </w:r>
      <w:r w:rsidR="00A94777">
        <w:t xml:space="preserve"> indica a que cuota del Aguinaldo se debe destinar el importe liquidado a fin de exponerlo correctamente en el Informe de liquidación de ganancias. Tenga en cuenta que en una liquidación de tipo Aguinaldo no se podrá tildar la opción “SAC RG 4003/17 Anexo II C” ya que en este tipo de liquidación no se aplica el cálculo de la doceava parte de incremento de las ganancias.</w:t>
      </w:r>
      <w:bookmarkEnd w:id="13"/>
      <w:bookmarkEnd w:id="14"/>
    </w:p>
    <w:p w:rsidR="00CA25EE" w:rsidRDefault="004634E5" w:rsidP="00407B64">
      <w:pPr>
        <w:jc w:val="center"/>
      </w:pPr>
      <w:r>
        <w:rPr>
          <w:noProof/>
          <w:lang w:eastAsia="es-AR"/>
        </w:rPr>
        <w:drawing>
          <wp:inline distT="0" distB="0" distL="0" distR="0">
            <wp:extent cx="3783205" cy="165363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811" cy="1654332"/>
                    </a:xfrm>
                    <a:prstGeom prst="rect">
                      <a:avLst/>
                    </a:prstGeom>
                    <a:noFill/>
                    <a:ln>
                      <a:noFill/>
                    </a:ln>
                  </pic:spPr>
                </pic:pic>
              </a:graphicData>
            </a:graphic>
          </wp:inline>
        </w:drawing>
      </w:r>
    </w:p>
    <w:p w:rsidR="00914EDD" w:rsidRDefault="00914EDD" w:rsidP="00914EDD">
      <w:pPr>
        <w:pStyle w:val="Heading1"/>
      </w:pPr>
      <w:bookmarkStart w:id="15" w:name="_Toc482721941"/>
      <w:r>
        <w:lastRenderedPageBreak/>
        <w:t>Ejemplos</w:t>
      </w:r>
      <w:bookmarkEnd w:id="15"/>
    </w:p>
    <w:p w:rsidR="006F43DF" w:rsidRDefault="00E63E31" w:rsidP="006F43DF">
      <w:r>
        <w:t>Para calcular el importe de horas extras que se debe descontar de la ganancia que entra a las escalas se debe llevar el importe liquidado a valores netos. Ese importe surge de las Horas extras habituales más la parte gravada de las Horas extras no habituales. De este último punto se desprenden dos escenarios posibles y que el sistema permite llevar según los usos y costumbres de cada empresa.</w:t>
      </w:r>
    </w:p>
    <w:p w:rsidR="00E63E31" w:rsidRDefault="00E63E31" w:rsidP="006F43DF">
      <w:r>
        <w:t xml:space="preserve">El primer caso es que las Horas extras no habituales se liquiden </w:t>
      </w:r>
      <w:r w:rsidR="009E42A2">
        <w:t>en un único concepto</w:t>
      </w:r>
      <w:r>
        <w:t>. El segundo caso es que se liquiden</w:t>
      </w:r>
      <w:r w:rsidR="009E42A2" w:rsidRPr="009E42A2">
        <w:t xml:space="preserve"> </w:t>
      </w:r>
      <w:r w:rsidR="009E42A2">
        <w:t>desglosadas, es decir, en un concepto la parte gravada y en otro la exenta.</w:t>
      </w:r>
    </w:p>
    <w:p w:rsidR="000C0846" w:rsidRDefault="000C0846" w:rsidP="006F43DF"/>
    <w:p w:rsidR="000C0846" w:rsidRDefault="000C0846" w:rsidP="006F43DF"/>
    <w:p w:rsidR="00DA55D4" w:rsidRDefault="00DA55D4" w:rsidP="00DA55D4">
      <w:pPr>
        <w:pStyle w:val="Heading2"/>
      </w:pPr>
      <w:bookmarkStart w:id="16" w:name="_Toc482721943"/>
      <w:r>
        <w:t xml:space="preserve">Caso práctico </w:t>
      </w:r>
      <w:r w:rsidR="004077C2">
        <w:t>1</w:t>
      </w:r>
      <w:r>
        <w:t xml:space="preserve"> (liquidación de horas extras no habituales en un único concepto)</w:t>
      </w:r>
      <w:bookmarkEnd w:id="16"/>
    </w:p>
    <w:p w:rsidR="00DA55D4" w:rsidRDefault="00DA55D4" w:rsidP="0057265C">
      <w:r>
        <w:t xml:space="preserve">En este caso se usará un </w:t>
      </w:r>
      <w:r w:rsidR="009A70DE">
        <w:t xml:space="preserve">solo </w:t>
      </w:r>
      <w:r w:rsidR="0057265C">
        <w:t xml:space="preserve">concepto para liquidar toda la hora no habitual al </w:t>
      </w:r>
      <w:r w:rsidR="004077C2">
        <w:t>10</w:t>
      </w:r>
      <w:r w:rsidR="0057265C">
        <w:t>0%, en este caso deberá constar en el campo Porcentaje del concepto el incremento o plus de la hora (ej. 50%, 100%, etc.), el sistema calculará en forma automática la porción exenta en función del porcentaje de incremento. En este caso las retenciones sobre la parte exenta serán calculadas también por el sistema.</w:t>
      </w:r>
      <w:r>
        <w:t xml:space="preserve"> </w:t>
      </w:r>
    </w:p>
    <w:p w:rsidR="00AF30CC" w:rsidRDefault="000C0846" w:rsidP="00DC2131">
      <w:r>
        <w:rPr>
          <w:noProof/>
          <w:lang w:eastAsia="es-AR"/>
        </w:rPr>
        <w:drawing>
          <wp:inline distT="0" distB="0" distL="0" distR="0">
            <wp:extent cx="5852160" cy="2926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160" cy="2926080"/>
                    </a:xfrm>
                    <a:prstGeom prst="rect">
                      <a:avLst/>
                    </a:prstGeom>
                    <a:noFill/>
                    <a:ln>
                      <a:noFill/>
                    </a:ln>
                  </pic:spPr>
                </pic:pic>
              </a:graphicData>
            </a:graphic>
          </wp:inline>
        </w:drawing>
      </w:r>
    </w:p>
    <w:p w:rsidR="000C0846" w:rsidRDefault="000C0846" w:rsidP="00DC2131"/>
    <w:p w:rsidR="000C0846" w:rsidRDefault="000C0846" w:rsidP="00DC2131"/>
    <w:p w:rsidR="000C0846" w:rsidRDefault="000C0846" w:rsidP="00DC2131"/>
    <w:p w:rsidR="000C0846" w:rsidRDefault="000C0846" w:rsidP="00DC2131"/>
    <w:p w:rsidR="000C0846" w:rsidRDefault="000C0846" w:rsidP="00DC2131"/>
    <w:p w:rsidR="004634E5" w:rsidRDefault="004634E5" w:rsidP="00DC2131"/>
    <w:p w:rsidR="000C0846" w:rsidRDefault="000C0846" w:rsidP="00DC2131">
      <w:r>
        <w:lastRenderedPageBreak/>
        <w:t>En este caso, la hora e</w:t>
      </w:r>
      <w:r w:rsidR="004634E5">
        <w:t>xtra no habitual al 100%, está</w:t>
      </w:r>
      <w:r>
        <w:t xml:space="preserve"> configurado de esta manera.</w:t>
      </w:r>
    </w:p>
    <w:p w:rsidR="000C0846" w:rsidRDefault="000C0846" w:rsidP="00DC2131">
      <w:r>
        <w:t>En el campo “Porcentaje” estamos colocando 100%, por ser una hora extra al 100%.</w:t>
      </w:r>
      <w:r>
        <w:br/>
      </w:r>
      <w:r>
        <w:rPr>
          <w:noProof/>
          <w:lang w:eastAsia="es-AR"/>
        </w:rPr>
        <w:drawing>
          <wp:inline distT="0" distB="0" distL="0" distR="0">
            <wp:extent cx="5882005" cy="120078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2005" cy="1200785"/>
                    </a:xfrm>
                    <a:prstGeom prst="rect">
                      <a:avLst/>
                    </a:prstGeom>
                    <a:noFill/>
                    <a:ln>
                      <a:noFill/>
                    </a:ln>
                  </pic:spPr>
                </pic:pic>
              </a:graphicData>
            </a:graphic>
          </wp:inline>
        </w:drawing>
      </w:r>
    </w:p>
    <w:p w:rsidR="00432B18" w:rsidRDefault="000C0846" w:rsidP="00DC2131">
      <w:r>
        <w:t xml:space="preserve">Por otro lado, en “Tipo de concepto de ganancias” colocamos “Hora extra no habitual” para que el sistema haga la separación del Plus de la hora, para poder hacer la </w:t>
      </w:r>
      <w:r w:rsidR="00062DCC">
        <w:t>Excepción</w:t>
      </w:r>
      <w:r>
        <w:t xml:space="preserve"> de ganancias.</w:t>
      </w:r>
      <w:r w:rsidR="00432B18">
        <w:br/>
      </w:r>
      <w:r>
        <w:t xml:space="preserve">El sistema </w:t>
      </w:r>
      <w:r w:rsidR="00432B18">
        <w:t>sabrá</w:t>
      </w:r>
      <w:r>
        <w:t xml:space="preserve"> cuanto tiene que eximir, por el porcentaje en la pantalla principal</w:t>
      </w:r>
      <w:r w:rsidR="00432B18">
        <w:t>.</w:t>
      </w:r>
    </w:p>
    <w:p w:rsidR="000C0846" w:rsidRDefault="00432B18" w:rsidP="00DC2131">
      <w:r>
        <w:t xml:space="preserve">Por último, en la grilla “Retenciones aplicables al concepto” colocamos </w:t>
      </w:r>
      <w:r w:rsidR="00062DCC">
        <w:t xml:space="preserve">todas </w:t>
      </w:r>
      <w:r>
        <w:t>las retenciones posibles</w:t>
      </w:r>
      <w:r w:rsidR="00062DCC">
        <w:t xml:space="preserve"> para la hora extra</w:t>
      </w:r>
      <w:r>
        <w:t>.</w:t>
      </w:r>
      <w:r>
        <w:br/>
        <w:t xml:space="preserve">Es importante destacar que podemos colocar más retenciones que las que se usan en la liquidación de un legajo. El sistema </w:t>
      </w:r>
      <w:r w:rsidR="001444B0">
        <w:t>usará</w:t>
      </w:r>
      <w:r>
        <w:t xml:space="preserve"> las retenciones que estén liquidadas y también estén en esta grilla,</w:t>
      </w:r>
      <w:r w:rsidR="00062DCC">
        <w:t xml:space="preserve"> toda retención que se encuentre</w:t>
      </w:r>
      <w:r w:rsidR="001444B0">
        <w:t xml:space="preserve"> en ambos lugares, se utilizará</w:t>
      </w:r>
      <w:r w:rsidR="00062DCC">
        <w:t xml:space="preserve"> para </w:t>
      </w:r>
      <w:r>
        <w:t>determinar el neto.</w:t>
      </w:r>
      <w:r w:rsidR="000C0846">
        <w:br/>
      </w:r>
      <w:r w:rsidR="00062DCC">
        <w:rPr>
          <w:noProof/>
          <w:lang w:eastAsia="es-AR"/>
        </w:rPr>
        <w:drawing>
          <wp:inline distT="0" distB="0" distL="0" distR="0">
            <wp:extent cx="5882005" cy="4067175"/>
            <wp:effectExtent l="0" t="0" r="444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2005" cy="4067175"/>
                    </a:xfrm>
                    <a:prstGeom prst="rect">
                      <a:avLst/>
                    </a:prstGeom>
                    <a:noFill/>
                    <a:ln>
                      <a:noFill/>
                    </a:ln>
                  </pic:spPr>
                </pic:pic>
              </a:graphicData>
            </a:graphic>
          </wp:inline>
        </w:drawing>
      </w:r>
    </w:p>
    <w:p w:rsidR="004077C2" w:rsidRDefault="004077C2" w:rsidP="00DC2131"/>
    <w:p w:rsidR="004077C2" w:rsidRDefault="004077C2" w:rsidP="00DC2131"/>
    <w:p w:rsidR="004077C2" w:rsidRDefault="004077C2" w:rsidP="004077C2">
      <w:pPr>
        <w:pStyle w:val="Heading2"/>
      </w:pPr>
      <w:bookmarkStart w:id="17" w:name="_Toc482721942"/>
      <w:bookmarkStart w:id="18" w:name="OLE_LINK1"/>
      <w:r>
        <w:lastRenderedPageBreak/>
        <w:t>Caso práctico 2 (liquidación de horas extras no habituales desglosadas)</w:t>
      </w:r>
      <w:bookmarkEnd w:id="17"/>
    </w:p>
    <w:bookmarkEnd w:id="18"/>
    <w:p w:rsidR="004077C2" w:rsidRDefault="004077C2" w:rsidP="004077C2">
      <w:r>
        <w:t>En este caso se usará un concepto para liquidar la parte gravada y otro para la parte exenta, usaremos horas al 100% y se calcularan las retenciones sobre la parte exenta en forma separada, para poder configurarlas también</w:t>
      </w:r>
      <w:bookmarkStart w:id="19" w:name="_GoBack"/>
      <w:bookmarkEnd w:id="19"/>
      <w:r>
        <w:t xml:space="preserve"> como retenciones exentas del impuesto.</w:t>
      </w:r>
    </w:p>
    <w:p w:rsidR="004077C2" w:rsidRDefault="00062DCC" w:rsidP="004077C2">
      <w:r>
        <w:rPr>
          <w:noProof/>
          <w:lang w:eastAsia="es-AR"/>
        </w:rPr>
        <w:drawing>
          <wp:inline distT="0" distB="0" distL="0" distR="0">
            <wp:extent cx="5882005" cy="3725545"/>
            <wp:effectExtent l="0" t="0" r="444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2005" cy="3725545"/>
                    </a:xfrm>
                    <a:prstGeom prst="rect">
                      <a:avLst/>
                    </a:prstGeom>
                    <a:noFill/>
                    <a:ln>
                      <a:noFill/>
                    </a:ln>
                  </pic:spPr>
                </pic:pic>
              </a:graphicData>
            </a:graphic>
          </wp:inline>
        </w:drawing>
      </w:r>
    </w:p>
    <w:p w:rsidR="00062DCC" w:rsidRDefault="00062DCC" w:rsidP="00DC2131">
      <w:r>
        <w:t>Esta es la configuración que deben tener los conceptos 29 y 30 según este ejemplo.</w:t>
      </w:r>
      <w:r>
        <w:br/>
        <w:t>El concepto 29 lo vamos a configurar como si fuera una hora extra habitual, ya que no debemos eximir nada de su importe. En la misma pantalla debemos colocar las retenciones en su grilla.</w:t>
      </w:r>
      <w:r>
        <w:br/>
      </w:r>
      <w:r>
        <w:rPr>
          <w:noProof/>
          <w:lang w:eastAsia="es-AR"/>
        </w:rPr>
        <w:drawing>
          <wp:inline distT="0" distB="0" distL="0" distR="0">
            <wp:extent cx="2985887" cy="1248643"/>
            <wp:effectExtent l="0" t="0" r="508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2907" cy="1255760"/>
                    </a:xfrm>
                    <a:prstGeom prst="rect">
                      <a:avLst/>
                    </a:prstGeom>
                    <a:noFill/>
                    <a:ln>
                      <a:noFill/>
                    </a:ln>
                  </pic:spPr>
                </pic:pic>
              </a:graphicData>
            </a:graphic>
          </wp:inline>
        </w:drawing>
      </w:r>
      <w:r>
        <w:rPr>
          <w:noProof/>
          <w:lang w:eastAsia="es-AR"/>
        </w:rPr>
        <w:drawing>
          <wp:inline distT="0" distB="0" distL="0" distR="0">
            <wp:extent cx="2806341" cy="1043852"/>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802" cy="1055926"/>
                    </a:xfrm>
                    <a:prstGeom prst="rect">
                      <a:avLst/>
                    </a:prstGeom>
                    <a:noFill/>
                    <a:ln>
                      <a:noFill/>
                    </a:ln>
                  </pic:spPr>
                </pic:pic>
              </a:graphicData>
            </a:graphic>
          </wp:inline>
        </w:drawing>
      </w:r>
      <w:r>
        <w:br/>
        <w:t>Con respecto al concepto 30, solo debemos indicarle que no afecta a ganancias y el tipo de excepción.</w:t>
      </w:r>
      <w:r>
        <w:br/>
      </w:r>
      <w:r>
        <w:rPr>
          <w:noProof/>
          <w:lang w:eastAsia="es-AR"/>
        </w:rPr>
        <w:drawing>
          <wp:inline distT="0" distB="0" distL="0" distR="0">
            <wp:extent cx="4339988" cy="138084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0901" cy="1393857"/>
                    </a:xfrm>
                    <a:prstGeom prst="rect">
                      <a:avLst/>
                    </a:prstGeom>
                    <a:noFill/>
                    <a:ln>
                      <a:noFill/>
                    </a:ln>
                  </pic:spPr>
                </pic:pic>
              </a:graphicData>
            </a:graphic>
          </wp:inline>
        </w:drawing>
      </w:r>
    </w:p>
    <w:p w:rsidR="00FD4CCF" w:rsidRDefault="00FD4CCF" w:rsidP="00FD4CCF">
      <w:pPr>
        <w:pStyle w:val="Heading2"/>
      </w:pPr>
      <w:r>
        <w:lastRenderedPageBreak/>
        <w:t>Informe de liquidación de Impuesto a las Ganancias.</w:t>
      </w:r>
    </w:p>
    <w:p w:rsidR="00FD4CCF" w:rsidRDefault="000E4BD4" w:rsidP="00FD4CCF">
      <w:pPr>
        <w:pStyle w:val="Heading2"/>
      </w:pPr>
      <w:r>
        <w:t>Primer</w:t>
      </w:r>
      <w:r w:rsidR="00FD4CCF">
        <w:t xml:space="preserve"> </w:t>
      </w:r>
      <w:r w:rsidR="00466800">
        <w:t>Sección</w:t>
      </w:r>
      <w:r>
        <w:t>: Remuneraciones</w:t>
      </w:r>
    </w:p>
    <w:p w:rsidR="00FD4CCF" w:rsidRDefault="00FD4CCF" w:rsidP="00DC2131">
      <w:r>
        <w:t>En la primer</w:t>
      </w:r>
      <w:r w:rsidR="000E4BD4">
        <w:t>a</w:t>
      </w:r>
      <w:r>
        <w:t xml:space="preserve"> sección del informe, donde vemos las remuneraciones computables, tenemos los siguientes cambios.</w:t>
      </w:r>
    </w:p>
    <w:p w:rsidR="000E4BD4" w:rsidRDefault="000E4BD4" w:rsidP="00DC2131">
      <w:r>
        <w:t>Retribuciones No Habituales: Aquí veremos la sumatoria de conceptos sin la tilde “</w:t>
      </w:r>
      <w:r w:rsidR="00466800">
        <w:t>Retribución</w:t>
      </w:r>
      <w:r>
        <w:t xml:space="preserve"> Habitual” mencionado anteriormente en el presente documento.</w:t>
      </w:r>
      <w:r>
        <w:br/>
        <w:t xml:space="preserve">SAC (RG 4003/17 Anexo II C.): Aquí veremos calculada la 12ava parte de la ganancia bruta correspondiente a la </w:t>
      </w:r>
      <w:r w:rsidR="00466800">
        <w:t>provisión</w:t>
      </w:r>
      <w:r>
        <w:t xml:space="preserve"> de SAC.</w:t>
      </w:r>
      <w:r>
        <w:br/>
        <w:t>SAC primera cuota y segunda cuota: En este campo, vamos a ver los importes liquidados en las liquidaciones de tipo SAC según la cuota definida en el dato fijo.</w:t>
      </w:r>
      <w:r>
        <w:br/>
      </w:r>
      <w:r w:rsidR="00466800">
        <w:t>Remuneración</w:t>
      </w:r>
      <w:r>
        <w:t xml:space="preserve"> Exenta Horas Extras: Aquí veremos el importe correspondientes a la parte exenta de las horas extras en horario no habitual</w:t>
      </w:r>
    </w:p>
    <w:p w:rsidR="00062DCC" w:rsidRDefault="00907DFB" w:rsidP="00DC2131">
      <w:r>
        <w:rPr>
          <w:noProof/>
          <w:lang w:eastAsia="es-AR"/>
        </w:rPr>
        <w:drawing>
          <wp:inline distT="0" distB="0" distL="0" distR="0">
            <wp:extent cx="5554639" cy="231458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1104" cy="2317276"/>
                    </a:xfrm>
                    <a:prstGeom prst="rect">
                      <a:avLst/>
                    </a:prstGeom>
                    <a:noFill/>
                    <a:ln>
                      <a:noFill/>
                    </a:ln>
                  </pic:spPr>
                </pic:pic>
              </a:graphicData>
            </a:graphic>
          </wp:inline>
        </w:drawing>
      </w:r>
    </w:p>
    <w:p w:rsidR="000E4BD4" w:rsidRDefault="000E4BD4" w:rsidP="000E4BD4">
      <w:pPr>
        <w:pStyle w:val="Heading2"/>
      </w:pPr>
      <w:r>
        <w:t>Última Sección: Resultado del impuesto</w:t>
      </w:r>
    </w:p>
    <w:p w:rsidR="000E4BD4" w:rsidRDefault="000E4BD4" w:rsidP="00DC2131">
      <w:r>
        <w:t>Remuneración sujeta a impuesto: Aquí veremos la Ganancia Neta Sujeta a Impuesto real</w:t>
      </w:r>
      <w:r w:rsidR="00466800">
        <w:t>.</w:t>
      </w:r>
      <w:r>
        <w:br/>
        <w:t xml:space="preserve">Remuneración sujeta a escalas (sin extras): Este es el valor que se usará para analizar a que tramo de alícuota corresponde. </w:t>
      </w:r>
      <w:r w:rsidR="00466800">
        <w:t>Representa</w:t>
      </w:r>
      <w:r>
        <w:t xml:space="preserve"> la Ganancia Neta Suje</w:t>
      </w:r>
      <w:r w:rsidR="00466800">
        <w:t>ta a Impuesto sin considerar lo liquidado en</w:t>
      </w:r>
      <w:r>
        <w:t xml:space="preserve"> horas extras.</w:t>
      </w:r>
      <w:r>
        <w:br/>
        <w:t xml:space="preserve">Tramo de Alícuota Articulo 90 Ley Gravamen: </w:t>
      </w:r>
      <w:r w:rsidR="00466800">
        <w:t>Corresponde al tramo de imposición, considerando las horas extras.</w:t>
      </w:r>
      <w:r>
        <w:br/>
        <w:t xml:space="preserve">Tramo de Alícuota Aplicable (sin incluir horas extras): </w:t>
      </w:r>
      <w:r w:rsidR="00466800">
        <w:t>Finalmente tenemos</w:t>
      </w:r>
      <w:r>
        <w:t xml:space="preserve"> el porcentaje</w:t>
      </w:r>
      <w:r w:rsidR="00466800">
        <w:t xml:space="preserve"> y tramo</w:t>
      </w:r>
      <w:r>
        <w:t xml:space="preserve"> que realmente se le </w:t>
      </w:r>
      <w:r w:rsidR="00466800">
        <w:t>aplicará</w:t>
      </w:r>
      <w:r>
        <w:t xml:space="preserve"> al legajo.</w:t>
      </w:r>
      <w:r>
        <w:br/>
      </w:r>
      <w:r w:rsidR="00C227B8">
        <w:br/>
      </w:r>
      <w:r w:rsidR="009F1A25">
        <w:rPr>
          <w:noProof/>
          <w:lang w:eastAsia="es-AR"/>
        </w:rPr>
        <w:drawing>
          <wp:inline distT="0" distB="0" distL="0" distR="0">
            <wp:extent cx="5766179" cy="1805860"/>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9204" cy="1806807"/>
                    </a:xfrm>
                    <a:prstGeom prst="rect">
                      <a:avLst/>
                    </a:prstGeom>
                    <a:noFill/>
                    <a:ln>
                      <a:noFill/>
                    </a:ln>
                  </pic:spPr>
                </pic:pic>
              </a:graphicData>
            </a:graphic>
          </wp:inline>
        </w:drawing>
      </w:r>
    </w:p>
    <w:sectPr w:rsidR="000E4BD4" w:rsidSect="00660E2C">
      <w:headerReference w:type="default" r:id="rId22"/>
      <w:footerReference w:type="default" r:id="rId23"/>
      <w:pgSz w:w="12240" w:h="15840"/>
      <w:pgMar w:top="1244" w:right="1701" w:bottom="1417" w:left="1276" w:header="284"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E1" w:rsidRDefault="007C28E1" w:rsidP="009E5A42">
      <w:pPr>
        <w:spacing w:after="0" w:line="240" w:lineRule="auto"/>
      </w:pPr>
      <w:r>
        <w:separator/>
      </w:r>
    </w:p>
  </w:endnote>
  <w:endnote w:type="continuationSeparator" w:id="0">
    <w:p w:rsidR="007C28E1" w:rsidRDefault="007C28E1" w:rsidP="009E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jc w:val="center"/>
      <w:tblBorders>
        <w:insideH w:val="single" w:sz="4" w:space="0" w:color="000000"/>
        <w:insideV w:val="single" w:sz="4" w:space="0" w:color="000000"/>
      </w:tblBorders>
      <w:tblLook w:val="04A0" w:firstRow="1" w:lastRow="0" w:firstColumn="1" w:lastColumn="0" w:noHBand="0" w:noVBand="1"/>
    </w:tblPr>
    <w:tblGrid>
      <w:gridCol w:w="3544"/>
      <w:gridCol w:w="3261"/>
      <w:gridCol w:w="4111"/>
    </w:tblGrid>
    <w:tr w:rsidR="008A490E" w:rsidRPr="00257418" w:rsidTr="00257418">
      <w:trPr>
        <w:jc w:val="center"/>
      </w:trPr>
      <w:tc>
        <w:tcPr>
          <w:tcW w:w="3544" w:type="dxa"/>
        </w:tcPr>
        <w:p w:rsidR="008A490E" w:rsidRPr="00257418" w:rsidRDefault="008A490E" w:rsidP="00257418">
          <w:pPr>
            <w:pStyle w:val="Footer"/>
            <w:rPr>
              <w:rFonts w:ascii="Verdana" w:hAnsi="Verdana"/>
              <w:b/>
              <w:color w:val="595959"/>
              <w:sz w:val="16"/>
              <w:szCs w:val="16"/>
            </w:rPr>
          </w:pPr>
          <w:r w:rsidRPr="00257418">
            <w:rPr>
              <w:rFonts w:ascii="Verdana" w:hAnsi="Verdana"/>
              <w:b/>
              <w:color w:val="595959"/>
              <w:sz w:val="16"/>
              <w:szCs w:val="16"/>
            </w:rPr>
            <w:t>AXOFT ARGENTINA S.A.</w:t>
          </w:r>
        </w:p>
        <w:p w:rsidR="008A490E" w:rsidRPr="00257418" w:rsidRDefault="008A490E" w:rsidP="00257418">
          <w:pPr>
            <w:pStyle w:val="Footer"/>
            <w:rPr>
              <w:rFonts w:ascii="Verdana" w:hAnsi="Verdana"/>
              <w:color w:val="595959"/>
              <w:sz w:val="16"/>
              <w:szCs w:val="16"/>
            </w:rPr>
          </w:pPr>
          <w:r w:rsidRPr="00257418">
            <w:rPr>
              <w:rFonts w:ascii="Verdana" w:hAnsi="Verdana"/>
              <w:color w:val="595959"/>
              <w:sz w:val="16"/>
              <w:szCs w:val="16"/>
            </w:rPr>
            <w:t>Cerrito 1186 Piso 2º - CP C1010AAX</w:t>
          </w:r>
          <w:r w:rsidRPr="00257418">
            <w:rPr>
              <w:rFonts w:ascii="Verdana" w:hAnsi="Verdana"/>
              <w:color w:val="595959"/>
              <w:sz w:val="16"/>
              <w:szCs w:val="16"/>
            </w:rPr>
            <w:br/>
            <w:t>Buenos Aires – Argentina</w:t>
          </w:r>
        </w:p>
      </w:tc>
      <w:tc>
        <w:tcPr>
          <w:tcW w:w="3261" w:type="dxa"/>
        </w:tcPr>
        <w:p w:rsidR="008A490E" w:rsidRPr="00257418" w:rsidRDefault="008A490E" w:rsidP="00257418">
          <w:pPr>
            <w:pStyle w:val="Footer"/>
            <w:rPr>
              <w:rFonts w:ascii="Verdana" w:hAnsi="Verdana"/>
              <w:b/>
              <w:color w:val="595959"/>
              <w:sz w:val="16"/>
              <w:szCs w:val="16"/>
            </w:rPr>
          </w:pPr>
          <w:r w:rsidRPr="00257418">
            <w:rPr>
              <w:rFonts w:ascii="Verdana" w:hAnsi="Verdana"/>
              <w:b/>
              <w:color w:val="595959"/>
              <w:sz w:val="16"/>
              <w:szCs w:val="16"/>
            </w:rPr>
            <w:t>TANGO CENTRO DE CLIENTES</w:t>
          </w:r>
        </w:p>
        <w:p w:rsidR="008A490E" w:rsidRPr="00257418" w:rsidRDefault="008A490E" w:rsidP="00257418">
          <w:pPr>
            <w:pStyle w:val="Footer"/>
            <w:ind w:left="34"/>
            <w:rPr>
              <w:color w:val="595959"/>
            </w:rPr>
          </w:pPr>
          <w:r w:rsidRPr="00257418">
            <w:rPr>
              <w:rFonts w:ascii="Verdana" w:hAnsi="Verdana"/>
              <w:color w:val="595959"/>
              <w:sz w:val="16"/>
              <w:szCs w:val="16"/>
            </w:rPr>
            <w:t>Cerrito 1214 - CP C1010AAZ</w:t>
          </w:r>
          <w:r w:rsidRPr="00257418">
            <w:rPr>
              <w:rFonts w:ascii="Verdana" w:hAnsi="Verdana"/>
              <w:color w:val="595959"/>
              <w:sz w:val="16"/>
              <w:szCs w:val="16"/>
            </w:rPr>
            <w:br/>
            <w:t>Buenos Aires – Argentina</w:t>
          </w:r>
        </w:p>
      </w:tc>
      <w:tc>
        <w:tcPr>
          <w:tcW w:w="4111" w:type="dxa"/>
        </w:tcPr>
        <w:p w:rsidR="008A490E" w:rsidRPr="00257418" w:rsidRDefault="008A490E" w:rsidP="00257418">
          <w:pPr>
            <w:pStyle w:val="Footer"/>
            <w:rPr>
              <w:rFonts w:ascii="Verdana" w:hAnsi="Verdana"/>
              <w:color w:val="595959"/>
              <w:sz w:val="16"/>
              <w:szCs w:val="16"/>
            </w:rPr>
          </w:pPr>
          <w:r w:rsidRPr="00FC62B5">
            <w:rPr>
              <w:rFonts w:ascii="Verdana" w:hAnsi="Verdana"/>
              <w:b/>
              <w:noProof/>
              <w:color w:val="595959"/>
              <w:sz w:val="16"/>
              <w:szCs w:val="16"/>
              <w:lang w:eastAsia="es-AR"/>
            </w:rPr>
            <mc:AlternateContent>
              <mc:Choice Requires="wps">
                <w:drawing>
                  <wp:anchor distT="0" distB="0" distL="114300" distR="114300" simplePos="0" relativeHeight="251659776" behindDoc="0" locked="0" layoutInCell="1" allowOverlap="1" wp14:anchorId="6860F025" wp14:editId="69E9B8DE">
                    <wp:simplePos x="0" y="0"/>
                    <wp:positionH relativeFrom="column">
                      <wp:posOffset>1183004</wp:posOffset>
                    </wp:positionH>
                    <wp:positionV relativeFrom="paragraph">
                      <wp:posOffset>-283845</wp:posOffset>
                    </wp:positionV>
                    <wp:extent cx="1190625" cy="357352"/>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57352"/>
                            </a:xfrm>
                            <a:prstGeom prst="rect">
                              <a:avLst/>
                            </a:prstGeom>
                            <a:noFill/>
                            <a:ln w="9525">
                              <a:noFill/>
                              <a:miter lim="800000"/>
                              <a:headEnd/>
                              <a:tailEnd/>
                            </a:ln>
                          </wps:spPr>
                          <wps:txbx>
                            <w:txbxContent>
                              <w:p w:rsidR="008A490E" w:rsidRDefault="008A490E">
                                <w:r>
                                  <w:rPr>
                                    <w:lang w:val="es-ES"/>
                                  </w:rPr>
                                  <w:t xml:space="preserve">Página </w:t>
                                </w:r>
                                <w:r>
                                  <w:rPr>
                                    <w:b/>
                                  </w:rPr>
                                  <w:fldChar w:fldCharType="begin"/>
                                </w:r>
                                <w:r>
                                  <w:rPr>
                                    <w:b/>
                                  </w:rPr>
                                  <w:instrText>PAGE  \* Arabic  \* MERGEFORMAT</w:instrText>
                                </w:r>
                                <w:r>
                                  <w:rPr>
                                    <w:b/>
                                  </w:rPr>
                                  <w:fldChar w:fldCharType="separate"/>
                                </w:r>
                                <w:r w:rsidR="00FC5C24" w:rsidRPr="00FC5C24">
                                  <w:rPr>
                                    <w:b/>
                                    <w:noProof/>
                                    <w:lang w:val="es-ES"/>
                                  </w:rPr>
                                  <w:t>8</w:t>
                                </w:r>
                                <w:r>
                                  <w:rPr>
                                    <w:b/>
                                  </w:rPr>
                                  <w:fldChar w:fldCharType="end"/>
                                </w:r>
                                <w:r>
                                  <w:rPr>
                                    <w:lang w:val="es-ES"/>
                                  </w:rPr>
                                  <w:t xml:space="preserve"> de  </w:t>
                                </w:r>
                                <w:r>
                                  <w:rPr>
                                    <w:b/>
                                  </w:rPr>
                                  <w:fldChar w:fldCharType="begin"/>
                                </w:r>
                                <w:r>
                                  <w:rPr>
                                    <w:b/>
                                  </w:rPr>
                                  <w:instrText>NUMPAGES  \* Arabic  \* MERGEFORMAT</w:instrText>
                                </w:r>
                                <w:r>
                                  <w:rPr>
                                    <w:b/>
                                  </w:rPr>
                                  <w:fldChar w:fldCharType="separate"/>
                                </w:r>
                                <w:r w:rsidR="00FC5C24" w:rsidRPr="00FC5C24">
                                  <w:rPr>
                                    <w:b/>
                                    <w:noProof/>
                                    <w:lang w:val="es-ES"/>
                                  </w:rPr>
                                  <w:t>9</w:t>
                                </w:r>
                                <w:r>
                                  <w:rPr>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0F025" id="_x0000_t202" coordsize="21600,21600" o:spt="202" path="m,l,21600r21600,l21600,xe">
                    <v:stroke joinstyle="miter"/>
                    <v:path gradientshapeok="t" o:connecttype="rect"/>
                  </v:shapetype>
                  <v:shape id="Cuadro de texto 2" o:spid="_x0000_s1026" type="#_x0000_t202" style="position:absolute;margin-left:93.15pt;margin-top:-22.35pt;width:93.7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" filled="f" stroked="f">
                    <v:textbox>
                      <w:txbxContent>
                        <w:p w:rsidR="008A490E" w:rsidRDefault="008A490E">
                          <w:r>
                            <w:rPr>
                              <w:lang w:val="es-ES"/>
                            </w:rPr>
                            <w:t xml:space="preserve">Página </w:t>
                          </w:r>
                          <w:r>
                            <w:rPr>
                              <w:b/>
                            </w:rPr>
                            <w:fldChar w:fldCharType="begin"/>
                          </w:r>
                          <w:r>
                            <w:rPr>
                              <w:b/>
                            </w:rPr>
                            <w:instrText>PAGE  \* Arabic  \* MERGEFORMAT</w:instrText>
                          </w:r>
                          <w:r>
                            <w:rPr>
                              <w:b/>
                            </w:rPr>
                            <w:fldChar w:fldCharType="separate"/>
                          </w:r>
                          <w:r w:rsidR="00FC5C24" w:rsidRPr="00FC5C24">
                            <w:rPr>
                              <w:b/>
                              <w:noProof/>
                              <w:lang w:val="es-ES"/>
                            </w:rPr>
                            <w:t>8</w:t>
                          </w:r>
                          <w:r>
                            <w:rPr>
                              <w:b/>
                            </w:rPr>
                            <w:fldChar w:fldCharType="end"/>
                          </w:r>
                          <w:r>
                            <w:rPr>
                              <w:lang w:val="es-ES"/>
                            </w:rPr>
                            <w:t xml:space="preserve"> de  </w:t>
                          </w:r>
                          <w:r>
                            <w:rPr>
                              <w:b/>
                            </w:rPr>
                            <w:fldChar w:fldCharType="begin"/>
                          </w:r>
                          <w:r>
                            <w:rPr>
                              <w:b/>
                            </w:rPr>
                            <w:instrText>NUMPAGES  \* Arabic  \* MERGEFORMAT</w:instrText>
                          </w:r>
                          <w:r>
                            <w:rPr>
                              <w:b/>
                            </w:rPr>
                            <w:fldChar w:fldCharType="separate"/>
                          </w:r>
                          <w:r w:rsidR="00FC5C24" w:rsidRPr="00FC5C24">
                            <w:rPr>
                              <w:b/>
                              <w:noProof/>
                              <w:lang w:val="es-ES"/>
                            </w:rPr>
                            <w:t>9</w:t>
                          </w:r>
                          <w:r>
                            <w:rPr>
                              <w:b/>
                            </w:rPr>
                            <w:fldChar w:fldCharType="end"/>
                          </w:r>
                        </w:p>
                      </w:txbxContent>
                    </v:textbox>
                  </v:shape>
                </w:pict>
              </mc:Fallback>
            </mc:AlternateContent>
          </w:r>
          <w:r w:rsidRPr="00257418">
            <w:rPr>
              <w:rFonts w:ascii="Verdana" w:hAnsi="Verdana"/>
              <w:color w:val="595959"/>
              <w:sz w:val="16"/>
              <w:szCs w:val="16"/>
            </w:rPr>
            <w:t xml:space="preserve">+54 (011) 5031-8264 - +54 (011) 4816-2620  </w:t>
          </w:r>
        </w:p>
        <w:p w:rsidR="008A490E" w:rsidRPr="00257418" w:rsidRDefault="008A490E" w:rsidP="00257418">
          <w:pPr>
            <w:pStyle w:val="Footer"/>
            <w:rPr>
              <w:rFonts w:ascii="Verdana" w:hAnsi="Verdana"/>
              <w:color w:val="595959"/>
              <w:sz w:val="16"/>
              <w:szCs w:val="16"/>
            </w:rPr>
          </w:pPr>
          <w:r w:rsidRPr="00257418">
            <w:rPr>
              <w:rFonts w:ascii="Verdana" w:hAnsi="Verdana"/>
              <w:b/>
              <w:color w:val="595959"/>
              <w:sz w:val="16"/>
              <w:szCs w:val="16"/>
            </w:rPr>
            <w:t xml:space="preserve">Apoyo </w:t>
          </w:r>
          <w:r w:rsidR="009854EE" w:rsidRPr="00257418">
            <w:rPr>
              <w:rFonts w:ascii="Verdana" w:hAnsi="Verdana"/>
              <w:b/>
              <w:color w:val="595959"/>
              <w:sz w:val="16"/>
              <w:szCs w:val="16"/>
            </w:rPr>
            <w:t xml:space="preserve">técnico </w:t>
          </w:r>
          <w:r w:rsidR="009854EE" w:rsidRPr="00257418">
            <w:rPr>
              <w:rFonts w:ascii="Verdana" w:hAnsi="Verdana"/>
              <w:color w:val="595959"/>
              <w:sz w:val="16"/>
              <w:szCs w:val="16"/>
            </w:rPr>
            <w:t>+</w:t>
          </w:r>
          <w:r w:rsidRPr="00257418">
            <w:rPr>
              <w:rFonts w:ascii="Verdana" w:hAnsi="Verdana"/>
              <w:color w:val="595959"/>
              <w:sz w:val="16"/>
              <w:szCs w:val="16"/>
            </w:rPr>
            <w:t>54 (011) 5256-2919</w:t>
          </w:r>
        </w:p>
        <w:p w:rsidR="008A490E" w:rsidRPr="00257418" w:rsidRDefault="008A490E" w:rsidP="00940808">
          <w:pPr>
            <w:pStyle w:val="Footer"/>
            <w:rPr>
              <w:rFonts w:ascii="Verdana" w:hAnsi="Verdana"/>
              <w:color w:val="595959"/>
              <w:sz w:val="16"/>
              <w:szCs w:val="16"/>
            </w:rPr>
          </w:pPr>
          <w:r w:rsidRPr="00257418">
            <w:rPr>
              <w:rFonts w:ascii="Verdana" w:hAnsi="Verdana"/>
              <w:color w:val="595959"/>
              <w:sz w:val="16"/>
              <w:szCs w:val="16"/>
            </w:rPr>
            <w:t xml:space="preserve">e-mail: </w:t>
          </w:r>
          <w:hyperlink r:id="rId1" w:history="1">
            <w:r w:rsidRPr="00257418">
              <w:rPr>
                <w:rStyle w:val="Hyperlink"/>
                <w:rFonts w:ascii="Verdana" w:hAnsi="Verdana"/>
                <w:color w:val="595959"/>
                <w:sz w:val="16"/>
                <w:szCs w:val="16"/>
              </w:rPr>
              <w:t>servicios@axoft.com</w:t>
            </w:r>
          </w:hyperlink>
          <w:r w:rsidRPr="00257418">
            <w:rPr>
              <w:rFonts w:ascii="Verdana" w:hAnsi="Verdana"/>
              <w:color w:val="595959"/>
              <w:sz w:val="16"/>
              <w:szCs w:val="16"/>
            </w:rPr>
            <w:t xml:space="preserve">  - </w:t>
          </w:r>
          <w:hyperlink r:id="rId2" w:history="1">
            <w:r w:rsidRPr="00257418">
              <w:rPr>
                <w:rStyle w:val="Hyperlink"/>
                <w:rFonts w:ascii="Verdana" w:hAnsi="Verdana"/>
                <w:color w:val="595959"/>
                <w:sz w:val="16"/>
                <w:szCs w:val="16"/>
              </w:rPr>
              <w:t>www.axoft.com</w:t>
            </w:r>
          </w:hyperlink>
          <w:r w:rsidRPr="00257418">
            <w:rPr>
              <w:rFonts w:ascii="Verdana" w:hAnsi="Verdana"/>
              <w:color w:val="595959"/>
              <w:sz w:val="16"/>
              <w:szCs w:val="16"/>
            </w:rPr>
            <w:t xml:space="preserve"> </w:t>
          </w:r>
        </w:p>
      </w:tc>
    </w:tr>
  </w:tbl>
  <w:p w:rsidR="008A490E" w:rsidRPr="00395A2B" w:rsidRDefault="008A490E" w:rsidP="0094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E1" w:rsidRDefault="007C28E1" w:rsidP="009E5A42">
      <w:pPr>
        <w:spacing w:after="0" w:line="240" w:lineRule="auto"/>
      </w:pPr>
      <w:r>
        <w:separator/>
      </w:r>
    </w:p>
  </w:footnote>
  <w:footnote w:type="continuationSeparator" w:id="0">
    <w:p w:rsidR="007C28E1" w:rsidRDefault="007C28E1" w:rsidP="009E5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0E" w:rsidRDefault="008A490E" w:rsidP="00437260">
    <w:pPr>
      <w:pStyle w:val="Header"/>
      <w:ind w:left="-142"/>
    </w:pPr>
    <w:r>
      <w:rPr>
        <w:noProof/>
        <w:lang w:eastAsia="es-AR"/>
      </w:rPr>
      <mc:AlternateContent>
        <mc:Choice Requires="wps">
          <w:drawing>
            <wp:anchor distT="0" distB="0" distL="114300" distR="114300" simplePos="0" relativeHeight="251657728" behindDoc="0" locked="0" layoutInCell="1" allowOverlap="1" wp14:anchorId="571340A7" wp14:editId="18A429A7">
              <wp:simplePos x="0" y="0"/>
              <wp:positionH relativeFrom="column">
                <wp:posOffset>-95250</wp:posOffset>
              </wp:positionH>
              <wp:positionV relativeFrom="paragraph">
                <wp:posOffset>486410</wp:posOffset>
              </wp:positionV>
              <wp:extent cx="6219190" cy="0"/>
              <wp:effectExtent l="9525" t="10160" r="10160" b="889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AD00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8.3pt" to="482.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">
              <v:stroke startarrowwidth="narrow" startarrowlength="short" endarrowwidth="narrow" endarrowlength="short"/>
            </v:line>
          </w:pict>
        </mc:Fallback>
      </mc:AlternateContent>
    </w:r>
    <w:r>
      <w:rPr>
        <w:noProof/>
        <w:lang w:eastAsia="es-AR"/>
      </w:rPr>
      <w:drawing>
        <wp:inline distT="0" distB="0" distL="0" distR="0" wp14:anchorId="6CDEA895" wp14:editId="34F64FD2">
          <wp:extent cx="1047750" cy="371475"/>
          <wp:effectExtent l="19050" t="0" r="0" b="0"/>
          <wp:docPr id="302" name="Imagen 5" descr="Descripción: Axoft-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Axoft-600px"/>
                  <pic:cNvPicPr>
                    <a:picLocks noChangeAspect="1" noChangeArrowheads="1"/>
                  </pic:cNvPicPr>
                </pic:nvPicPr>
                <pic:blipFill>
                  <a:blip r:embed="rId1"/>
                  <a:srcRect/>
                  <a:stretch>
                    <a:fillRect/>
                  </a:stretch>
                </pic:blipFill>
                <pic:spPr bwMode="auto">
                  <a:xfrm>
                    <a:off x="0" y="0"/>
                    <a:ext cx="1047750" cy="371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D2C3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03735"/>
    <w:multiLevelType w:val="hybridMultilevel"/>
    <w:tmpl w:val="3E0004B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A9C41FC"/>
    <w:multiLevelType w:val="hybridMultilevel"/>
    <w:tmpl w:val="E25C716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78B57C7"/>
    <w:multiLevelType w:val="hybridMultilevel"/>
    <w:tmpl w:val="797C027A"/>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8F24330"/>
    <w:multiLevelType w:val="hybridMultilevel"/>
    <w:tmpl w:val="8F4852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9547176"/>
    <w:multiLevelType w:val="hybridMultilevel"/>
    <w:tmpl w:val="3B3A7E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E8168CB"/>
    <w:multiLevelType w:val="hybridMultilevel"/>
    <w:tmpl w:val="021C5B2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1EA00AC6"/>
    <w:multiLevelType w:val="multilevel"/>
    <w:tmpl w:val="1C4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D3221"/>
    <w:multiLevelType w:val="hybridMultilevel"/>
    <w:tmpl w:val="DF9E65E4"/>
    <w:lvl w:ilvl="0" w:tplc="438A837E">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9" w15:restartNumberingAfterBreak="0">
    <w:nsid w:val="25736A25"/>
    <w:multiLevelType w:val="hybridMultilevel"/>
    <w:tmpl w:val="A356C4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4EF022F"/>
    <w:multiLevelType w:val="hybridMultilevel"/>
    <w:tmpl w:val="0108DD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64C3C8D"/>
    <w:multiLevelType w:val="hybridMultilevel"/>
    <w:tmpl w:val="54F495F6"/>
    <w:lvl w:ilvl="0" w:tplc="6328825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85C5AC4"/>
    <w:multiLevelType w:val="hybridMultilevel"/>
    <w:tmpl w:val="B9BE3424"/>
    <w:lvl w:ilvl="0" w:tplc="AEF464A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15:restartNumberingAfterBreak="0">
    <w:nsid w:val="3EAF06C6"/>
    <w:multiLevelType w:val="hybridMultilevel"/>
    <w:tmpl w:val="0308A4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23A6228"/>
    <w:multiLevelType w:val="hybridMultilevel"/>
    <w:tmpl w:val="A434D324"/>
    <w:lvl w:ilvl="0" w:tplc="B8262A22">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431A6DBD"/>
    <w:multiLevelType w:val="hybridMultilevel"/>
    <w:tmpl w:val="797C027A"/>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A4E5986"/>
    <w:multiLevelType w:val="hybridMultilevel"/>
    <w:tmpl w:val="507E74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BB826E6"/>
    <w:multiLevelType w:val="hybridMultilevel"/>
    <w:tmpl w:val="0D18992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15:restartNumberingAfterBreak="0">
    <w:nsid w:val="4FA650AD"/>
    <w:multiLevelType w:val="multilevel"/>
    <w:tmpl w:val="7AF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C660D"/>
    <w:multiLevelType w:val="hybridMultilevel"/>
    <w:tmpl w:val="A54C074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2D910E5"/>
    <w:multiLevelType w:val="hybridMultilevel"/>
    <w:tmpl w:val="253AAF96"/>
    <w:lvl w:ilvl="0" w:tplc="D87E15C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5625037"/>
    <w:multiLevelType w:val="hybridMultilevel"/>
    <w:tmpl w:val="1DD02B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8E63C60"/>
    <w:multiLevelType w:val="hybridMultilevel"/>
    <w:tmpl w:val="CFF444E2"/>
    <w:lvl w:ilvl="0" w:tplc="0C0A0011">
      <w:start w:val="1"/>
      <w:numFmt w:val="decimal"/>
      <w:lvlText w:val="%1)"/>
      <w:lvlJc w:val="left"/>
      <w:pPr>
        <w:tabs>
          <w:tab w:val="num" w:pos="1440"/>
        </w:tabs>
        <w:ind w:left="1440" w:hanging="360"/>
      </w:pPr>
    </w:lvl>
    <w:lvl w:ilvl="1" w:tplc="0C0A0003">
      <w:start w:val="1"/>
      <w:numFmt w:val="decimal"/>
      <w:lvlText w:val="%2."/>
      <w:lvlJc w:val="left"/>
      <w:pPr>
        <w:tabs>
          <w:tab w:val="num" w:pos="2160"/>
        </w:tabs>
        <w:ind w:left="2160" w:hanging="360"/>
      </w:pPr>
    </w:lvl>
    <w:lvl w:ilvl="2" w:tplc="0C0A0005">
      <w:start w:val="1"/>
      <w:numFmt w:val="decimal"/>
      <w:lvlText w:val="%3."/>
      <w:lvlJc w:val="left"/>
      <w:pPr>
        <w:tabs>
          <w:tab w:val="num" w:pos="2880"/>
        </w:tabs>
        <w:ind w:left="2880" w:hanging="360"/>
      </w:pPr>
    </w:lvl>
    <w:lvl w:ilvl="3" w:tplc="0C0A0001">
      <w:start w:val="1"/>
      <w:numFmt w:val="decimal"/>
      <w:lvlText w:val="%4."/>
      <w:lvlJc w:val="left"/>
      <w:pPr>
        <w:tabs>
          <w:tab w:val="num" w:pos="3600"/>
        </w:tabs>
        <w:ind w:left="3600" w:hanging="360"/>
      </w:pPr>
    </w:lvl>
    <w:lvl w:ilvl="4" w:tplc="0C0A0003">
      <w:start w:val="1"/>
      <w:numFmt w:val="decimal"/>
      <w:lvlText w:val="%5."/>
      <w:lvlJc w:val="left"/>
      <w:pPr>
        <w:tabs>
          <w:tab w:val="num" w:pos="4320"/>
        </w:tabs>
        <w:ind w:left="4320" w:hanging="360"/>
      </w:pPr>
    </w:lvl>
    <w:lvl w:ilvl="5" w:tplc="0C0A0005">
      <w:start w:val="1"/>
      <w:numFmt w:val="decimal"/>
      <w:lvlText w:val="%6."/>
      <w:lvlJc w:val="left"/>
      <w:pPr>
        <w:tabs>
          <w:tab w:val="num" w:pos="5040"/>
        </w:tabs>
        <w:ind w:left="5040" w:hanging="360"/>
      </w:pPr>
    </w:lvl>
    <w:lvl w:ilvl="6" w:tplc="0C0A0001">
      <w:start w:val="1"/>
      <w:numFmt w:val="decimal"/>
      <w:lvlText w:val="%7."/>
      <w:lvlJc w:val="left"/>
      <w:pPr>
        <w:tabs>
          <w:tab w:val="num" w:pos="5760"/>
        </w:tabs>
        <w:ind w:left="5760" w:hanging="360"/>
      </w:pPr>
    </w:lvl>
    <w:lvl w:ilvl="7" w:tplc="0C0A0003">
      <w:start w:val="1"/>
      <w:numFmt w:val="decimal"/>
      <w:lvlText w:val="%8."/>
      <w:lvlJc w:val="left"/>
      <w:pPr>
        <w:tabs>
          <w:tab w:val="num" w:pos="6480"/>
        </w:tabs>
        <w:ind w:left="6480" w:hanging="360"/>
      </w:pPr>
    </w:lvl>
    <w:lvl w:ilvl="8" w:tplc="0C0A0005">
      <w:start w:val="1"/>
      <w:numFmt w:val="decimal"/>
      <w:lvlText w:val="%9."/>
      <w:lvlJc w:val="left"/>
      <w:pPr>
        <w:tabs>
          <w:tab w:val="num" w:pos="7200"/>
        </w:tabs>
        <w:ind w:left="7200" w:hanging="360"/>
      </w:pPr>
    </w:lvl>
  </w:abstractNum>
  <w:abstractNum w:abstractNumId="23" w15:restartNumberingAfterBreak="0">
    <w:nsid w:val="5DA72078"/>
    <w:multiLevelType w:val="hybridMultilevel"/>
    <w:tmpl w:val="A8262BA6"/>
    <w:lvl w:ilvl="0" w:tplc="1A9AC63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15:restartNumberingAfterBreak="0">
    <w:nsid w:val="5FFF0574"/>
    <w:multiLevelType w:val="hybridMultilevel"/>
    <w:tmpl w:val="BE065F74"/>
    <w:lvl w:ilvl="0" w:tplc="F648DD9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09037FA"/>
    <w:multiLevelType w:val="hybridMultilevel"/>
    <w:tmpl w:val="4A9CC41E"/>
    <w:lvl w:ilvl="0" w:tplc="511898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5177A70"/>
    <w:multiLevelType w:val="hybridMultilevel"/>
    <w:tmpl w:val="AF106A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15648C0"/>
    <w:multiLevelType w:val="hybridMultilevel"/>
    <w:tmpl w:val="3DDEDF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2AD2831"/>
    <w:multiLevelType w:val="hybridMultilevel"/>
    <w:tmpl w:val="39B4426E"/>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9" w15:restartNumberingAfterBreak="0">
    <w:nsid w:val="78A77EA1"/>
    <w:multiLevelType w:val="hybridMultilevel"/>
    <w:tmpl w:val="5412B5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C0F15D4"/>
    <w:multiLevelType w:val="hybridMultilevel"/>
    <w:tmpl w:val="498A8D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EC111A4"/>
    <w:multiLevelType w:val="hybridMultilevel"/>
    <w:tmpl w:val="E6F018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F4D079A"/>
    <w:multiLevelType w:val="hybridMultilevel"/>
    <w:tmpl w:val="225C89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9"/>
  </w:num>
  <w:num w:numId="2">
    <w:abstractNumId w:val="32"/>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1"/>
  </w:num>
  <w:num w:numId="9">
    <w:abstractNumId w:val="6"/>
  </w:num>
  <w:num w:numId="10">
    <w:abstractNumId w:val="8"/>
  </w:num>
  <w:num w:numId="11">
    <w:abstractNumId w:val="14"/>
  </w:num>
  <w:num w:numId="12">
    <w:abstractNumId w:val="2"/>
  </w:num>
  <w:num w:numId="13">
    <w:abstractNumId w:val="20"/>
  </w:num>
  <w:num w:numId="14">
    <w:abstractNumId w:val="25"/>
  </w:num>
  <w:num w:numId="15">
    <w:abstractNumId w:val="16"/>
  </w:num>
  <w:num w:numId="16">
    <w:abstractNumId w:val="4"/>
  </w:num>
  <w:num w:numId="17">
    <w:abstractNumId w:val="30"/>
  </w:num>
  <w:num w:numId="18">
    <w:abstractNumId w:val="24"/>
  </w:num>
  <w:num w:numId="19">
    <w:abstractNumId w:val="15"/>
  </w:num>
  <w:num w:numId="20">
    <w:abstractNumId w:val="28"/>
  </w:num>
  <w:num w:numId="21">
    <w:abstractNumId w:val="12"/>
  </w:num>
  <w:num w:numId="22">
    <w:abstractNumId w:val="5"/>
  </w:num>
  <w:num w:numId="23">
    <w:abstractNumId w:val="3"/>
  </w:num>
  <w:num w:numId="24">
    <w:abstractNumId w:val="26"/>
  </w:num>
  <w:num w:numId="25">
    <w:abstractNumId w:val="18"/>
  </w:num>
  <w:num w:numId="26">
    <w:abstractNumId w:val="7"/>
  </w:num>
  <w:num w:numId="27">
    <w:abstractNumId w:val="27"/>
  </w:num>
  <w:num w:numId="28">
    <w:abstractNumId w:val="13"/>
  </w:num>
  <w:num w:numId="29">
    <w:abstractNumId w:val="21"/>
  </w:num>
  <w:num w:numId="30">
    <w:abstractNumId w:val="17"/>
  </w:num>
  <w:num w:numId="31">
    <w:abstractNumId w:val="11"/>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B3"/>
    <w:rsid w:val="000036A1"/>
    <w:rsid w:val="000061F3"/>
    <w:rsid w:val="000144BA"/>
    <w:rsid w:val="0001460D"/>
    <w:rsid w:val="0001664C"/>
    <w:rsid w:val="00025EA5"/>
    <w:rsid w:val="00031954"/>
    <w:rsid w:val="00031B65"/>
    <w:rsid w:val="000401DC"/>
    <w:rsid w:val="00044008"/>
    <w:rsid w:val="00045658"/>
    <w:rsid w:val="000472E9"/>
    <w:rsid w:val="0004744F"/>
    <w:rsid w:val="00051B90"/>
    <w:rsid w:val="000528B8"/>
    <w:rsid w:val="000555C1"/>
    <w:rsid w:val="000575BC"/>
    <w:rsid w:val="00062DCC"/>
    <w:rsid w:val="0006594F"/>
    <w:rsid w:val="00067D4B"/>
    <w:rsid w:val="00071799"/>
    <w:rsid w:val="0007434A"/>
    <w:rsid w:val="00080B5E"/>
    <w:rsid w:val="00082E55"/>
    <w:rsid w:val="00084CCB"/>
    <w:rsid w:val="0008777D"/>
    <w:rsid w:val="00087B5C"/>
    <w:rsid w:val="00087C38"/>
    <w:rsid w:val="00087DD6"/>
    <w:rsid w:val="00091C6E"/>
    <w:rsid w:val="00092BC4"/>
    <w:rsid w:val="00094176"/>
    <w:rsid w:val="0009452B"/>
    <w:rsid w:val="000A04D7"/>
    <w:rsid w:val="000A1836"/>
    <w:rsid w:val="000A1B4F"/>
    <w:rsid w:val="000A46CD"/>
    <w:rsid w:val="000A6967"/>
    <w:rsid w:val="000B6BC0"/>
    <w:rsid w:val="000C0846"/>
    <w:rsid w:val="000C09B4"/>
    <w:rsid w:val="000C7483"/>
    <w:rsid w:val="000E17EF"/>
    <w:rsid w:val="000E4BD4"/>
    <w:rsid w:val="000F23E7"/>
    <w:rsid w:val="000F6F10"/>
    <w:rsid w:val="000F7E86"/>
    <w:rsid w:val="00104C32"/>
    <w:rsid w:val="00104E0C"/>
    <w:rsid w:val="00105AE1"/>
    <w:rsid w:val="00110580"/>
    <w:rsid w:val="00111D6F"/>
    <w:rsid w:val="001128F1"/>
    <w:rsid w:val="001210FB"/>
    <w:rsid w:val="00121712"/>
    <w:rsid w:val="00124489"/>
    <w:rsid w:val="001257F8"/>
    <w:rsid w:val="00125C36"/>
    <w:rsid w:val="00130DC9"/>
    <w:rsid w:val="0013507F"/>
    <w:rsid w:val="0013667C"/>
    <w:rsid w:val="0013735D"/>
    <w:rsid w:val="00143FB6"/>
    <w:rsid w:val="001444B0"/>
    <w:rsid w:val="0015134D"/>
    <w:rsid w:val="001520DB"/>
    <w:rsid w:val="001550CE"/>
    <w:rsid w:val="001659F5"/>
    <w:rsid w:val="00173659"/>
    <w:rsid w:val="00177F60"/>
    <w:rsid w:val="00181CEE"/>
    <w:rsid w:val="00185D7D"/>
    <w:rsid w:val="001865F3"/>
    <w:rsid w:val="001944FC"/>
    <w:rsid w:val="001A1B26"/>
    <w:rsid w:val="001A6E55"/>
    <w:rsid w:val="001B6A92"/>
    <w:rsid w:val="001C0C6E"/>
    <w:rsid w:val="001C4383"/>
    <w:rsid w:val="001C55FF"/>
    <w:rsid w:val="001C7540"/>
    <w:rsid w:val="001D134B"/>
    <w:rsid w:val="001D137B"/>
    <w:rsid w:val="001D18CE"/>
    <w:rsid w:val="001D6F4E"/>
    <w:rsid w:val="001E0830"/>
    <w:rsid w:val="001E5094"/>
    <w:rsid w:val="001E66F3"/>
    <w:rsid w:val="001E6B2F"/>
    <w:rsid w:val="001E7BF3"/>
    <w:rsid w:val="001F494C"/>
    <w:rsid w:val="001F4E60"/>
    <w:rsid w:val="001F63A8"/>
    <w:rsid w:val="002042BE"/>
    <w:rsid w:val="00206475"/>
    <w:rsid w:val="0020653F"/>
    <w:rsid w:val="00207B38"/>
    <w:rsid w:val="002116E2"/>
    <w:rsid w:val="002120A2"/>
    <w:rsid w:val="002128F3"/>
    <w:rsid w:val="00220408"/>
    <w:rsid w:val="00220693"/>
    <w:rsid w:val="00231FA5"/>
    <w:rsid w:val="0023718C"/>
    <w:rsid w:val="002422F1"/>
    <w:rsid w:val="00242EEA"/>
    <w:rsid w:val="00257418"/>
    <w:rsid w:val="00263B97"/>
    <w:rsid w:val="00265086"/>
    <w:rsid w:val="002657FA"/>
    <w:rsid w:val="00267BB3"/>
    <w:rsid w:val="002700EA"/>
    <w:rsid w:val="0027385E"/>
    <w:rsid w:val="00280119"/>
    <w:rsid w:val="002818F4"/>
    <w:rsid w:val="00283D79"/>
    <w:rsid w:val="0029031D"/>
    <w:rsid w:val="00290EE4"/>
    <w:rsid w:val="00293319"/>
    <w:rsid w:val="002A36F2"/>
    <w:rsid w:val="002B1749"/>
    <w:rsid w:val="002B34FD"/>
    <w:rsid w:val="002B42BD"/>
    <w:rsid w:val="002B586A"/>
    <w:rsid w:val="002C3DFC"/>
    <w:rsid w:val="002C6742"/>
    <w:rsid w:val="002D215C"/>
    <w:rsid w:val="002D28C9"/>
    <w:rsid w:val="002D2DE0"/>
    <w:rsid w:val="002D57D4"/>
    <w:rsid w:val="002E6BDD"/>
    <w:rsid w:val="002F0A0B"/>
    <w:rsid w:val="002F4AFC"/>
    <w:rsid w:val="00305269"/>
    <w:rsid w:val="00305627"/>
    <w:rsid w:val="00312BC6"/>
    <w:rsid w:val="00314ACF"/>
    <w:rsid w:val="00323F83"/>
    <w:rsid w:val="003259EF"/>
    <w:rsid w:val="00326D3C"/>
    <w:rsid w:val="00330F52"/>
    <w:rsid w:val="00335C8D"/>
    <w:rsid w:val="003420BD"/>
    <w:rsid w:val="003420E5"/>
    <w:rsid w:val="0034798F"/>
    <w:rsid w:val="00350E9A"/>
    <w:rsid w:val="0036013D"/>
    <w:rsid w:val="00360D69"/>
    <w:rsid w:val="00361526"/>
    <w:rsid w:val="00361B3D"/>
    <w:rsid w:val="003645EA"/>
    <w:rsid w:val="00364FEB"/>
    <w:rsid w:val="00365C60"/>
    <w:rsid w:val="00367DA4"/>
    <w:rsid w:val="003719BC"/>
    <w:rsid w:val="00372C61"/>
    <w:rsid w:val="00372FC1"/>
    <w:rsid w:val="003773F1"/>
    <w:rsid w:val="00390844"/>
    <w:rsid w:val="00390FE2"/>
    <w:rsid w:val="00391837"/>
    <w:rsid w:val="0039345F"/>
    <w:rsid w:val="00395A2B"/>
    <w:rsid w:val="0039704D"/>
    <w:rsid w:val="003A13FC"/>
    <w:rsid w:val="003A50F0"/>
    <w:rsid w:val="003B3A9A"/>
    <w:rsid w:val="003B46D6"/>
    <w:rsid w:val="003B4BB1"/>
    <w:rsid w:val="003C1625"/>
    <w:rsid w:val="003C5E35"/>
    <w:rsid w:val="003C7AFD"/>
    <w:rsid w:val="003C7F60"/>
    <w:rsid w:val="003D066E"/>
    <w:rsid w:val="003D1EB3"/>
    <w:rsid w:val="003E3657"/>
    <w:rsid w:val="003E3C62"/>
    <w:rsid w:val="003E4A1E"/>
    <w:rsid w:val="003F2205"/>
    <w:rsid w:val="003F3529"/>
    <w:rsid w:val="003F3DF6"/>
    <w:rsid w:val="003F3F64"/>
    <w:rsid w:val="003F5753"/>
    <w:rsid w:val="003F7FE5"/>
    <w:rsid w:val="004057E1"/>
    <w:rsid w:val="004077C2"/>
    <w:rsid w:val="00407B64"/>
    <w:rsid w:val="00414824"/>
    <w:rsid w:val="0041497E"/>
    <w:rsid w:val="004201AF"/>
    <w:rsid w:val="00426C53"/>
    <w:rsid w:val="00430076"/>
    <w:rsid w:val="00432B18"/>
    <w:rsid w:val="00435AC4"/>
    <w:rsid w:val="00437260"/>
    <w:rsid w:val="00437B48"/>
    <w:rsid w:val="00443F47"/>
    <w:rsid w:val="00444230"/>
    <w:rsid w:val="004569BA"/>
    <w:rsid w:val="004602F3"/>
    <w:rsid w:val="0046198E"/>
    <w:rsid w:val="00461B87"/>
    <w:rsid w:val="004624BF"/>
    <w:rsid w:val="004634E5"/>
    <w:rsid w:val="00463EC3"/>
    <w:rsid w:val="00463F11"/>
    <w:rsid w:val="004652B8"/>
    <w:rsid w:val="00466800"/>
    <w:rsid w:val="004674C8"/>
    <w:rsid w:val="004826D2"/>
    <w:rsid w:val="00482E92"/>
    <w:rsid w:val="004A4928"/>
    <w:rsid w:val="004A4D7B"/>
    <w:rsid w:val="004A6BBF"/>
    <w:rsid w:val="004B0EC0"/>
    <w:rsid w:val="004B2DD4"/>
    <w:rsid w:val="004C054D"/>
    <w:rsid w:val="004C1B4C"/>
    <w:rsid w:val="004C4242"/>
    <w:rsid w:val="004C6F77"/>
    <w:rsid w:val="004D117E"/>
    <w:rsid w:val="004D43AB"/>
    <w:rsid w:val="004E1F4C"/>
    <w:rsid w:val="004E228B"/>
    <w:rsid w:val="004E235D"/>
    <w:rsid w:val="004E4983"/>
    <w:rsid w:val="004E7B95"/>
    <w:rsid w:val="004F1527"/>
    <w:rsid w:val="004F3998"/>
    <w:rsid w:val="004F426A"/>
    <w:rsid w:val="004F4CBE"/>
    <w:rsid w:val="005005DD"/>
    <w:rsid w:val="005014D1"/>
    <w:rsid w:val="00504417"/>
    <w:rsid w:val="0050516D"/>
    <w:rsid w:val="00507E4B"/>
    <w:rsid w:val="00512FD0"/>
    <w:rsid w:val="00514034"/>
    <w:rsid w:val="00520647"/>
    <w:rsid w:val="00522DEC"/>
    <w:rsid w:val="00523BE1"/>
    <w:rsid w:val="00530036"/>
    <w:rsid w:val="00533771"/>
    <w:rsid w:val="005422DD"/>
    <w:rsid w:val="0054624E"/>
    <w:rsid w:val="00550C2C"/>
    <w:rsid w:val="005541B4"/>
    <w:rsid w:val="00557298"/>
    <w:rsid w:val="00562641"/>
    <w:rsid w:val="005628BE"/>
    <w:rsid w:val="00564504"/>
    <w:rsid w:val="005677AC"/>
    <w:rsid w:val="00567ED5"/>
    <w:rsid w:val="0057265C"/>
    <w:rsid w:val="00572985"/>
    <w:rsid w:val="005822FE"/>
    <w:rsid w:val="00584C31"/>
    <w:rsid w:val="005865AD"/>
    <w:rsid w:val="00587964"/>
    <w:rsid w:val="005879EE"/>
    <w:rsid w:val="00591141"/>
    <w:rsid w:val="00595C64"/>
    <w:rsid w:val="005A26D2"/>
    <w:rsid w:val="005A297E"/>
    <w:rsid w:val="005A47CF"/>
    <w:rsid w:val="005A4931"/>
    <w:rsid w:val="005A633B"/>
    <w:rsid w:val="005A785B"/>
    <w:rsid w:val="005B0786"/>
    <w:rsid w:val="005B38D8"/>
    <w:rsid w:val="005D155C"/>
    <w:rsid w:val="005D49FD"/>
    <w:rsid w:val="005D7580"/>
    <w:rsid w:val="005D7A4A"/>
    <w:rsid w:val="005E10C3"/>
    <w:rsid w:val="005E1B19"/>
    <w:rsid w:val="005E2161"/>
    <w:rsid w:val="005E41C6"/>
    <w:rsid w:val="005E6687"/>
    <w:rsid w:val="005E77AA"/>
    <w:rsid w:val="005F15B9"/>
    <w:rsid w:val="005F1665"/>
    <w:rsid w:val="006118EC"/>
    <w:rsid w:val="006134E0"/>
    <w:rsid w:val="006164AA"/>
    <w:rsid w:val="00620883"/>
    <w:rsid w:val="00624302"/>
    <w:rsid w:val="006257DD"/>
    <w:rsid w:val="0062752D"/>
    <w:rsid w:val="00627D84"/>
    <w:rsid w:val="00632C27"/>
    <w:rsid w:val="0064422C"/>
    <w:rsid w:val="00650D5C"/>
    <w:rsid w:val="00650EC0"/>
    <w:rsid w:val="006513B1"/>
    <w:rsid w:val="00654248"/>
    <w:rsid w:val="00656124"/>
    <w:rsid w:val="00660E2C"/>
    <w:rsid w:val="00661346"/>
    <w:rsid w:val="00662075"/>
    <w:rsid w:val="0066425D"/>
    <w:rsid w:val="00674FD1"/>
    <w:rsid w:val="006754EB"/>
    <w:rsid w:val="00681DDC"/>
    <w:rsid w:val="00684E5D"/>
    <w:rsid w:val="006850F0"/>
    <w:rsid w:val="006877DB"/>
    <w:rsid w:val="00695839"/>
    <w:rsid w:val="006A0528"/>
    <w:rsid w:val="006A188E"/>
    <w:rsid w:val="006A2346"/>
    <w:rsid w:val="006A26D9"/>
    <w:rsid w:val="006A57AA"/>
    <w:rsid w:val="006A57D9"/>
    <w:rsid w:val="006C0616"/>
    <w:rsid w:val="006C0FE4"/>
    <w:rsid w:val="006C5D8A"/>
    <w:rsid w:val="006C6077"/>
    <w:rsid w:val="006D1D3A"/>
    <w:rsid w:val="006D2925"/>
    <w:rsid w:val="006E0CF4"/>
    <w:rsid w:val="006E2124"/>
    <w:rsid w:val="006F33C5"/>
    <w:rsid w:val="006F43DF"/>
    <w:rsid w:val="006F5436"/>
    <w:rsid w:val="006F65B9"/>
    <w:rsid w:val="00704D65"/>
    <w:rsid w:val="007059B4"/>
    <w:rsid w:val="007073B4"/>
    <w:rsid w:val="00711A81"/>
    <w:rsid w:val="0071368F"/>
    <w:rsid w:val="00721763"/>
    <w:rsid w:val="007234EF"/>
    <w:rsid w:val="00723E1E"/>
    <w:rsid w:val="00733589"/>
    <w:rsid w:val="00735680"/>
    <w:rsid w:val="00741686"/>
    <w:rsid w:val="00743CD6"/>
    <w:rsid w:val="00745000"/>
    <w:rsid w:val="00753FC3"/>
    <w:rsid w:val="00760FD8"/>
    <w:rsid w:val="00761441"/>
    <w:rsid w:val="00763516"/>
    <w:rsid w:val="007642F6"/>
    <w:rsid w:val="00766090"/>
    <w:rsid w:val="0076697F"/>
    <w:rsid w:val="00771F6A"/>
    <w:rsid w:val="00777588"/>
    <w:rsid w:val="00783C0D"/>
    <w:rsid w:val="00784C1C"/>
    <w:rsid w:val="00790A5F"/>
    <w:rsid w:val="00791E0E"/>
    <w:rsid w:val="00795F05"/>
    <w:rsid w:val="007A019A"/>
    <w:rsid w:val="007A3885"/>
    <w:rsid w:val="007A4947"/>
    <w:rsid w:val="007C28E1"/>
    <w:rsid w:val="007C34E5"/>
    <w:rsid w:val="007C6F08"/>
    <w:rsid w:val="007D0764"/>
    <w:rsid w:val="007D345C"/>
    <w:rsid w:val="007E6148"/>
    <w:rsid w:val="007F3EF1"/>
    <w:rsid w:val="007F6DDC"/>
    <w:rsid w:val="00801E55"/>
    <w:rsid w:val="00803DA7"/>
    <w:rsid w:val="008101B9"/>
    <w:rsid w:val="0081248B"/>
    <w:rsid w:val="008135D8"/>
    <w:rsid w:val="008147D9"/>
    <w:rsid w:val="00814C06"/>
    <w:rsid w:val="00816523"/>
    <w:rsid w:val="008232C7"/>
    <w:rsid w:val="0082755E"/>
    <w:rsid w:val="00831140"/>
    <w:rsid w:val="00831AF6"/>
    <w:rsid w:val="0083395E"/>
    <w:rsid w:val="008416F6"/>
    <w:rsid w:val="00844363"/>
    <w:rsid w:val="008444FA"/>
    <w:rsid w:val="00845D25"/>
    <w:rsid w:val="00846992"/>
    <w:rsid w:val="008472A3"/>
    <w:rsid w:val="00850910"/>
    <w:rsid w:val="0085471C"/>
    <w:rsid w:val="00854F35"/>
    <w:rsid w:val="008556B2"/>
    <w:rsid w:val="00855807"/>
    <w:rsid w:val="008603E3"/>
    <w:rsid w:val="00861136"/>
    <w:rsid w:val="008625F4"/>
    <w:rsid w:val="008636F9"/>
    <w:rsid w:val="00863A23"/>
    <w:rsid w:val="008642B9"/>
    <w:rsid w:val="008649D8"/>
    <w:rsid w:val="00864DA2"/>
    <w:rsid w:val="00866F92"/>
    <w:rsid w:val="00867F99"/>
    <w:rsid w:val="00871383"/>
    <w:rsid w:val="00874667"/>
    <w:rsid w:val="00880914"/>
    <w:rsid w:val="00880FE9"/>
    <w:rsid w:val="00886C1E"/>
    <w:rsid w:val="00890868"/>
    <w:rsid w:val="008918BF"/>
    <w:rsid w:val="008A490E"/>
    <w:rsid w:val="008A6EF3"/>
    <w:rsid w:val="008B05A6"/>
    <w:rsid w:val="008B13D3"/>
    <w:rsid w:val="008B52CD"/>
    <w:rsid w:val="008B5EF8"/>
    <w:rsid w:val="008C2F12"/>
    <w:rsid w:val="008C4AB5"/>
    <w:rsid w:val="008C6A0F"/>
    <w:rsid w:val="008D01BC"/>
    <w:rsid w:val="008D2DAC"/>
    <w:rsid w:val="008D6A8F"/>
    <w:rsid w:val="008D78E7"/>
    <w:rsid w:val="008E14B3"/>
    <w:rsid w:val="008E4578"/>
    <w:rsid w:val="008F118F"/>
    <w:rsid w:val="008F1E3A"/>
    <w:rsid w:val="008F7E12"/>
    <w:rsid w:val="00903F0D"/>
    <w:rsid w:val="00904852"/>
    <w:rsid w:val="00907DFB"/>
    <w:rsid w:val="00911E44"/>
    <w:rsid w:val="00912C8B"/>
    <w:rsid w:val="00914EDD"/>
    <w:rsid w:val="00915A9F"/>
    <w:rsid w:val="00915B3B"/>
    <w:rsid w:val="00925002"/>
    <w:rsid w:val="0092635E"/>
    <w:rsid w:val="00926BF4"/>
    <w:rsid w:val="00933AC9"/>
    <w:rsid w:val="00934A2F"/>
    <w:rsid w:val="00936970"/>
    <w:rsid w:val="00937010"/>
    <w:rsid w:val="00937C3D"/>
    <w:rsid w:val="00940808"/>
    <w:rsid w:val="009419F0"/>
    <w:rsid w:val="00944C2C"/>
    <w:rsid w:val="00945AF7"/>
    <w:rsid w:val="0096331C"/>
    <w:rsid w:val="00963551"/>
    <w:rsid w:val="00964CCE"/>
    <w:rsid w:val="009664B9"/>
    <w:rsid w:val="00976989"/>
    <w:rsid w:val="0097770E"/>
    <w:rsid w:val="00977C69"/>
    <w:rsid w:val="009854EE"/>
    <w:rsid w:val="00987E90"/>
    <w:rsid w:val="00993AA3"/>
    <w:rsid w:val="00995247"/>
    <w:rsid w:val="009A1377"/>
    <w:rsid w:val="009A58B2"/>
    <w:rsid w:val="009A70DE"/>
    <w:rsid w:val="009B0E14"/>
    <w:rsid w:val="009B497A"/>
    <w:rsid w:val="009B65BF"/>
    <w:rsid w:val="009C42CB"/>
    <w:rsid w:val="009C7304"/>
    <w:rsid w:val="009D7289"/>
    <w:rsid w:val="009E42A2"/>
    <w:rsid w:val="009E5A42"/>
    <w:rsid w:val="009F1A25"/>
    <w:rsid w:val="009F390D"/>
    <w:rsid w:val="009F4710"/>
    <w:rsid w:val="00A028E9"/>
    <w:rsid w:val="00A05024"/>
    <w:rsid w:val="00A05D8A"/>
    <w:rsid w:val="00A13339"/>
    <w:rsid w:val="00A1341E"/>
    <w:rsid w:val="00A21062"/>
    <w:rsid w:val="00A21C31"/>
    <w:rsid w:val="00A2339F"/>
    <w:rsid w:val="00A355A1"/>
    <w:rsid w:val="00A3587B"/>
    <w:rsid w:val="00A3645E"/>
    <w:rsid w:val="00A5046D"/>
    <w:rsid w:val="00A53707"/>
    <w:rsid w:val="00A5730A"/>
    <w:rsid w:val="00A6285F"/>
    <w:rsid w:val="00A63CA7"/>
    <w:rsid w:val="00A67451"/>
    <w:rsid w:val="00A70D02"/>
    <w:rsid w:val="00A71F63"/>
    <w:rsid w:val="00A72866"/>
    <w:rsid w:val="00A75080"/>
    <w:rsid w:val="00A811DD"/>
    <w:rsid w:val="00A82277"/>
    <w:rsid w:val="00A87646"/>
    <w:rsid w:val="00A900D0"/>
    <w:rsid w:val="00A91503"/>
    <w:rsid w:val="00A945AD"/>
    <w:rsid w:val="00A94777"/>
    <w:rsid w:val="00A9616E"/>
    <w:rsid w:val="00A96779"/>
    <w:rsid w:val="00AA09AC"/>
    <w:rsid w:val="00AA248A"/>
    <w:rsid w:val="00AB02CF"/>
    <w:rsid w:val="00AB33F5"/>
    <w:rsid w:val="00AC2F8F"/>
    <w:rsid w:val="00AC4622"/>
    <w:rsid w:val="00AC55BE"/>
    <w:rsid w:val="00AC5FC5"/>
    <w:rsid w:val="00AC62E4"/>
    <w:rsid w:val="00AD09E7"/>
    <w:rsid w:val="00AD0C1B"/>
    <w:rsid w:val="00AF0ABA"/>
    <w:rsid w:val="00AF1A3F"/>
    <w:rsid w:val="00AF30CC"/>
    <w:rsid w:val="00AF3117"/>
    <w:rsid w:val="00AF5929"/>
    <w:rsid w:val="00B0031F"/>
    <w:rsid w:val="00B03DB7"/>
    <w:rsid w:val="00B05C2A"/>
    <w:rsid w:val="00B225D9"/>
    <w:rsid w:val="00B22F17"/>
    <w:rsid w:val="00B239AC"/>
    <w:rsid w:val="00B258CE"/>
    <w:rsid w:val="00B31183"/>
    <w:rsid w:val="00B313AC"/>
    <w:rsid w:val="00B34A75"/>
    <w:rsid w:val="00B36075"/>
    <w:rsid w:val="00B36292"/>
    <w:rsid w:val="00B43D88"/>
    <w:rsid w:val="00B52C88"/>
    <w:rsid w:val="00B5371F"/>
    <w:rsid w:val="00B6072E"/>
    <w:rsid w:val="00B61656"/>
    <w:rsid w:val="00B66F27"/>
    <w:rsid w:val="00B6710F"/>
    <w:rsid w:val="00B728FE"/>
    <w:rsid w:val="00B7486B"/>
    <w:rsid w:val="00B80237"/>
    <w:rsid w:val="00B83278"/>
    <w:rsid w:val="00B85E49"/>
    <w:rsid w:val="00B863B9"/>
    <w:rsid w:val="00B95590"/>
    <w:rsid w:val="00B95EC5"/>
    <w:rsid w:val="00BA194B"/>
    <w:rsid w:val="00BA4861"/>
    <w:rsid w:val="00BA500C"/>
    <w:rsid w:val="00BB0BD7"/>
    <w:rsid w:val="00BB74DA"/>
    <w:rsid w:val="00BC3E58"/>
    <w:rsid w:val="00BD6F77"/>
    <w:rsid w:val="00BD7442"/>
    <w:rsid w:val="00BE29AB"/>
    <w:rsid w:val="00BF2155"/>
    <w:rsid w:val="00BF2447"/>
    <w:rsid w:val="00BF30DE"/>
    <w:rsid w:val="00C0282F"/>
    <w:rsid w:val="00C02F35"/>
    <w:rsid w:val="00C04C2C"/>
    <w:rsid w:val="00C07538"/>
    <w:rsid w:val="00C10681"/>
    <w:rsid w:val="00C13A8E"/>
    <w:rsid w:val="00C1432F"/>
    <w:rsid w:val="00C15AE4"/>
    <w:rsid w:val="00C17BB7"/>
    <w:rsid w:val="00C227B8"/>
    <w:rsid w:val="00C261A2"/>
    <w:rsid w:val="00C26BF2"/>
    <w:rsid w:val="00C315A4"/>
    <w:rsid w:val="00C3350D"/>
    <w:rsid w:val="00C37B42"/>
    <w:rsid w:val="00C404F9"/>
    <w:rsid w:val="00C41262"/>
    <w:rsid w:val="00C43722"/>
    <w:rsid w:val="00C52B2A"/>
    <w:rsid w:val="00C52DC6"/>
    <w:rsid w:val="00C60580"/>
    <w:rsid w:val="00C63403"/>
    <w:rsid w:val="00C652C4"/>
    <w:rsid w:val="00C7724F"/>
    <w:rsid w:val="00C8445B"/>
    <w:rsid w:val="00C90EBE"/>
    <w:rsid w:val="00CA0644"/>
    <w:rsid w:val="00CA1A9E"/>
    <w:rsid w:val="00CA25EE"/>
    <w:rsid w:val="00CA4098"/>
    <w:rsid w:val="00CA5ED5"/>
    <w:rsid w:val="00CA796D"/>
    <w:rsid w:val="00CB61CF"/>
    <w:rsid w:val="00CB7189"/>
    <w:rsid w:val="00CC161A"/>
    <w:rsid w:val="00CC6F4B"/>
    <w:rsid w:val="00CC71B0"/>
    <w:rsid w:val="00CD69FE"/>
    <w:rsid w:val="00CE3B96"/>
    <w:rsid w:val="00CE6395"/>
    <w:rsid w:val="00CE7DDF"/>
    <w:rsid w:val="00CF142C"/>
    <w:rsid w:val="00CF1916"/>
    <w:rsid w:val="00CF252A"/>
    <w:rsid w:val="00CF4C49"/>
    <w:rsid w:val="00CF5A44"/>
    <w:rsid w:val="00D02369"/>
    <w:rsid w:val="00D0359A"/>
    <w:rsid w:val="00D12930"/>
    <w:rsid w:val="00D2444C"/>
    <w:rsid w:val="00D26266"/>
    <w:rsid w:val="00D27FCE"/>
    <w:rsid w:val="00D35A15"/>
    <w:rsid w:val="00D35CD7"/>
    <w:rsid w:val="00D3741D"/>
    <w:rsid w:val="00D40FCA"/>
    <w:rsid w:val="00D45CF4"/>
    <w:rsid w:val="00D50D5B"/>
    <w:rsid w:val="00D547FA"/>
    <w:rsid w:val="00D54D66"/>
    <w:rsid w:val="00D65EA8"/>
    <w:rsid w:val="00D66793"/>
    <w:rsid w:val="00D7063D"/>
    <w:rsid w:val="00D718A6"/>
    <w:rsid w:val="00D7264F"/>
    <w:rsid w:val="00D75CBC"/>
    <w:rsid w:val="00D76274"/>
    <w:rsid w:val="00D8013B"/>
    <w:rsid w:val="00D83140"/>
    <w:rsid w:val="00D85344"/>
    <w:rsid w:val="00D9054F"/>
    <w:rsid w:val="00D94F12"/>
    <w:rsid w:val="00D9527F"/>
    <w:rsid w:val="00DA4CC8"/>
    <w:rsid w:val="00DA55D4"/>
    <w:rsid w:val="00DA62D3"/>
    <w:rsid w:val="00DA78EC"/>
    <w:rsid w:val="00DB1ADF"/>
    <w:rsid w:val="00DC2131"/>
    <w:rsid w:val="00DC42CD"/>
    <w:rsid w:val="00DC44D3"/>
    <w:rsid w:val="00DC7585"/>
    <w:rsid w:val="00DD2B94"/>
    <w:rsid w:val="00DD6D98"/>
    <w:rsid w:val="00DD7804"/>
    <w:rsid w:val="00DE1F42"/>
    <w:rsid w:val="00DE3A72"/>
    <w:rsid w:val="00DE48CC"/>
    <w:rsid w:val="00DE631A"/>
    <w:rsid w:val="00DF4751"/>
    <w:rsid w:val="00DF741E"/>
    <w:rsid w:val="00E002BF"/>
    <w:rsid w:val="00E01395"/>
    <w:rsid w:val="00E05018"/>
    <w:rsid w:val="00E05FD6"/>
    <w:rsid w:val="00E10435"/>
    <w:rsid w:val="00E22672"/>
    <w:rsid w:val="00E227EC"/>
    <w:rsid w:val="00E2378A"/>
    <w:rsid w:val="00E248A9"/>
    <w:rsid w:val="00E262E3"/>
    <w:rsid w:val="00E30B40"/>
    <w:rsid w:val="00E336BA"/>
    <w:rsid w:val="00E3546C"/>
    <w:rsid w:val="00E37134"/>
    <w:rsid w:val="00E47BAA"/>
    <w:rsid w:val="00E50099"/>
    <w:rsid w:val="00E51722"/>
    <w:rsid w:val="00E578AA"/>
    <w:rsid w:val="00E63E31"/>
    <w:rsid w:val="00E655D8"/>
    <w:rsid w:val="00E66AE0"/>
    <w:rsid w:val="00E74EC4"/>
    <w:rsid w:val="00E75F74"/>
    <w:rsid w:val="00E808B9"/>
    <w:rsid w:val="00E826AF"/>
    <w:rsid w:val="00E87F3B"/>
    <w:rsid w:val="00E902EC"/>
    <w:rsid w:val="00E90A0A"/>
    <w:rsid w:val="00E94057"/>
    <w:rsid w:val="00E956A5"/>
    <w:rsid w:val="00E96C81"/>
    <w:rsid w:val="00E96EE9"/>
    <w:rsid w:val="00EA1CD5"/>
    <w:rsid w:val="00EA44CB"/>
    <w:rsid w:val="00EA450B"/>
    <w:rsid w:val="00EA55A0"/>
    <w:rsid w:val="00EA63AD"/>
    <w:rsid w:val="00EA6A73"/>
    <w:rsid w:val="00EB0150"/>
    <w:rsid w:val="00EB05D1"/>
    <w:rsid w:val="00EB1BDA"/>
    <w:rsid w:val="00EC02AD"/>
    <w:rsid w:val="00EC62F7"/>
    <w:rsid w:val="00EC742A"/>
    <w:rsid w:val="00ED3A1C"/>
    <w:rsid w:val="00ED4469"/>
    <w:rsid w:val="00ED66C7"/>
    <w:rsid w:val="00EE16CD"/>
    <w:rsid w:val="00EE22CD"/>
    <w:rsid w:val="00EE3658"/>
    <w:rsid w:val="00EE4189"/>
    <w:rsid w:val="00EE458A"/>
    <w:rsid w:val="00EF04C9"/>
    <w:rsid w:val="00EF3448"/>
    <w:rsid w:val="00EF6552"/>
    <w:rsid w:val="00F0009C"/>
    <w:rsid w:val="00F00D03"/>
    <w:rsid w:val="00F00F86"/>
    <w:rsid w:val="00F12ACE"/>
    <w:rsid w:val="00F169F6"/>
    <w:rsid w:val="00F17EB0"/>
    <w:rsid w:val="00F2107F"/>
    <w:rsid w:val="00F2274B"/>
    <w:rsid w:val="00F22951"/>
    <w:rsid w:val="00F23CE2"/>
    <w:rsid w:val="00F23DC9"/>
    <w:rsid w:val="00F26C85"/>
    <w:rsid w:val="00F30159"/>
    <w:rsid w:val="00F303C4"/>
    <w:rsid w:val="00F3086B"/>
    <w:rsid w:val="00F313BD"/>
    <w:rsid w:val="00F356C6"/>
    <w:rsid w:val="00F3777B"/>
    <w:rsid w:val="00F405A1"/>
    <w:rsid w:val="00F433F0"/>
    <w:rsid w:val="00F435EC"/>
    <w:rsid w:val="00F44F7F"/>
    <w:rsid w:val="00F5014D"/>
    <w:rsid w:val="00F54613"/>
    <w:rsid w:val="00F603FF"/>
    <w:rsid w:val="00F62EAD"/>
    <w:rsid w:val="00F65679"/>
    <w:rsid w:val="00F66B69"/>
    <w:rsid w:val="00F67F93"/>
    <w:rsid w:val="00F7034C"/>
    <w:rsid w:val="00F733EF"/>
    <w:rsid w:val="00F74240"/>
    <w:rsid w:val="00F758B5"/>
    <w:rsid w:val="00F86E0B"/>
    <w:rsid w:val="00F91CE4"/>
    <w:rsid w:val="00F959F7"/>
    <w:rsid w:val="00FB00F2"/>
    <w:rsid w:val="00FB7827"/>
    <w:rsid w:val="00FC5C24"/>
    <w:rsid w:val="00FC62B5"/>
    <w:rsid w:val="00FC7EB5"/>
    <w:rsid w:val="00FD2272"/>
    <w:rsid w:val="00FD2E5F"/>
    <w:rsid w:val="00FD4CCF"/>
    <w:rsid w:val="00FD7CCF"/>
    <w:rsid w:val="00FE2A26"/>
    <w:rsid w:val="00FE5162"/>
    <w:rsid w:val="00FF724E"/>
    <w:rsid w:val="00FF7B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1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4E5"/>
    <w:pPr>
      <w:spacing w:after="200" w:line="276" w:lineRule="auto"/>
    </w:pPr>
    <w:rPr>
      <w:rFonts w:eastAsia="Times New Roman"/>
      <w:szCs w:val="22"/>
      <w:lang w:eastAsia="en-US"/>
    </w:rPr>
  </w:style>
  <w:style w:type="paragraph" w:styleId="Heading1">
    <w:name w:val="heading 1"/>
    <w:basedOn w:val="Normal"/>
    <w:next w:val="Normal"/>
    <w:link w:val="Heading1Char"/>
    <w:uiPriority w:val="9"/>
    <w:qFormat/>
    <w:rsid w:val="00305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6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56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72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5A42"/>
  </w:style>
  <w:style w:type="paragraph" w:styleId="Footer">
    <w:name w:val="footer"/>
    <w:basedOn w:val="Normal"/>
    <w:link w:val="FooterChar"/>
    <w:uiPriority w:val="99"/>
    <w:unhideWhenUsed/>
    <w:rsid w:val="009E5A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A42"/>
  </w:style>
  <w:style w:type="paragraph" w:styleId="BalloonText">
    <w:name w:val="Balloon Text"/>
    <w:basedOn w:val="Normal"/>
    <w:link w:val="BalloonTextChar"/>
    <w:uiPriority w:val="99"/>
    <w:semiHidden/>
    <w:unhideWhenUsed/>
    <w:rsid w:val="009E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A42"/>
    <w:rPr>
      <w:rFonts w:ascii="Tahoma" w:hAnsi="Tahoma" w:cs="Tahoma"/>
      <w:sz w:val="16"/>
      <w:szCs w:val="16"/>
    </w:rPr>
  </w:style>
  <w:style w:type="character" w:styleId="Hyperlink">
    <w:name w:val="Hyperlink"/>
    <w:uiPriority w:val="99"/>
    <w:rsid w:val="009E5A42"/>
    <w:rPr>
      <w:color w:val="0000FF"/>
      <w:u w:val="single"/>
    </w:rPr>
  </w:style>
  <w:style w:type="paragraph" w:styleId="NormalWeb">
    <w:name w:val="Normal (Web)"/>
    <w:basedOn w:val="Normal"/>
    <w:uiPriority w:val="99"/>
    <w:unhideWhenUsed/>
    <w:rsid w:val="001B6A92"/>
    <w:pPr>
      <w:spacing w:before="100" w:beforeAutospacing="1" w:after="100" w:afterAutospacing="1" w:line="240" w:lineRule="auto"/>
    </w:pPr>
    <w:rPr>
      <w:rFonts w:ascii="Times New Roman" w:hAnsi="Times New Roman"/>
      <w:sz w:val="24"/>
      <w:szCs w:val="24"/>
      <w:lang w:eastAsia="es-AR"/>
    </w:rPr>
  </w:style>
  <w:style w:type="character" w:customStyle="1" w:styleId="fnegrita">
    <w:name w:val="f__negrita"/>
    <w:basedOn w:val="DefaultParagraphFont"/>
    <w:rsid w:val="001B6A92"/>
  </w:style>
  <w:style w:type="character" w:customStyle="1" w:styleId="fcampos">
    <w:name w:val="f__campos"/>
    <w:basedOn w:val="DefaultParagraphFont"/>
    <w:rsid w:val="001B6A92"/>
  </w:style>
  <w:style w:type="paragraph" w:customStyle="1" w:styleId="Prrafodelista1">
    <w:name w:val="Párrafo de lista1"/>
    <w:basedOn w:val="Normal"/>
    <w:uiPriority w:val="34"/>
    <w:qFormat/>
    <w:rsid w:val="001B6A92"/>
    <w:pPr>
      <w:ind w:left="720"/>
      <w:contextualSpacing/>
    </w:pPr>
    <w:rPr>
      <w:rFonts w:eastAsia="Calibri"/>
    </w:rPr>
  </w:style>
  <w:style w:type="table" w:styleId="TableGrid">
    <w:name w:val="Table Grid"/>
    <w:basedOn w:val="TableNormal"/>
    <w:uiPriority w:val="59"/>
    <w:rsid w:val="00395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FF7BD1"/>
    <w:pPr>
      <w:shd w:val="clear" w:color="auto" w:fill="000080"/>
    </w:pPr>
    <w:rPr>
      <w:rFonts w:ascii="Tahoma" w:hAnsi="Tahoma" w:cs="Tahoma"/>
      <w:szCs w:val="20"/>
    </w:rPr>
  </w:style>
  <w:style w:type="paragraph" w:styleId="ListParagraph">
    <w:name w:val="List Paragraph"/>
    <w:basedOn w:val="Normal"/>
    <w:uiPriority w:val="34"/>
    <w:qFormat/>
    <w:rsid w:val="00B22F17"/>
    <w:pPr>
      <w:ind w:left="720"/>
      <w:contextualSpacing/>
    </w:pPr>
  </w:style>
  <w:style w:type="character" w:styleId="PlaceholderText">
    <w:name w:val="Placeholder Text"/>
    <w:basedOn w:val="DefaultParagraphFont"/>
    <w:uiPriority w:val="99"/>
    <w:semiHidden/>
    <w:rsid w:val="00745000"/>
    <w:rPr>
      <w:color w:val="808080"/>
    </w:rPr>
  </w:style>
  <w:style w:type="character" w:customStyle="1" w:styleId="Heading1Char">
    <w:name w:val="Heading 1 Char"/>
    <w:basedOn w:val="DefaultParagraphFont"/>
    <w:link w:val="Heading1"/>
    <w:uiPriority w:val="9"/>
    <w:rsid w:val="0030562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3056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305627"/>
    <w:rPr>
      <w:rFonts w:asciiTheme="majorHAnsi" w:eastAsiaTheme="majorEastAsia" w:hAnsiTheme="majorHAnsi" w:cstheme="majorBidi"/>
      <w:b/>
      <w:bCs/>
      <w:color w:val="4F81BD" w:themeColor="accent1"/>
      <w:sz w:val="22"/>
      <w:szCs w:val="22"/>
      <w:lang w:eastAsia="en-US"/>
    </w:rPr>
  </w:style>
  <w:style w:type="paragraph" w:styleId="TOCHeading">
    <w:name w:val="TOC Heading"/>
    <w:basedOn w:val="Heading1"/>
    <w:next w:val="Normal"/>
    <w:uiPriority w:val="39"/>
    <w:semiHidden/>
    <w:unhideWhenUsed/>
    <w:qFormat/>
    <w:rsid w:val="00305627"/>
    <w:pPr>
      <w:outlineLvl w:val="9"/>
    </w:pPr>
    <w:rPr>
      <w:lang w:eastAsia="es-AR"/>
    </w:rPr>
  </w:style>
  <w:style w:type="paragraph" w:styleId="TOC1">
    <w:name w:val="toc 1"/>
    <w:basedOn w:val="Normal"/>
    <w:next w:val="Normal"/>
    <w:autoRedefine/>
    <w:uiPriority w:val="39"/>
    <w:unhideWhenUsed/>
    <w:rsid w:val="00305627"/>
    <w:pPr>
      <w:spacing w:after="100"/>
    </w:pPr>
  </w:style>
  <w:style w:type="paragraph" w:styleId="TOC2">
    <w:name w:val="toc 2"/>
    <w:basedOn w:val="Normal"/>
    <w:next w:val="Normal"/>
    <w:autoRedefine/>
    <w:uiPriority w:val="39"/>
    <w:unhideWhenUsed/>
    <w:rsid w:val="00305627"/>
    <w:pPr>
      <w:spacing w:after="100"/>
      <w:ind w:left="220"/>
    </w:pPr>
  </w:style>
  <w:style w:type="paragraph" w:styleId="TOC3">
    <w:name w:val="toc 3"/>
    <w:basedOn w:val="Normal"/>
    <w:next w:val="Normal"/>
    <w:autoRedefine/>
    <w:uiPriority w:val="39"/>
    <w:unhideWhenUsed/>
    <w:rsid w:val="00E90A0A"/>
    <w:pPr>
      <w:tabs>
        <w:tab w:val="right" w:leader="dot" w:pos="9253"/>
      </w:tabs>
      <w:spacing w:after="100"/>
      <w:ind w:left="440"/>
    </w:pPr>
    <w:rPr>
      <w:noProof/>
    </w:rPr>
  </w:style>
  <w:style w:type="character" w:customStyle="1" w:styleId="Heading4Char">
    <w:name w:val="Heading 4 Char"/>
    <w:basedOn w:val="DefaultParagraphFont"/>
    <w:link w:val="Heading4"/>
    <w:uiPriority w:val="9"/>
    <w:rsid w:val="009D7289"/>
    <w:rPr>
      <w:rFonts w:asciiTheme="majorHAnsi" w:eastAsiaTheme="majorEastAsia" w:hAnsiTheme="majorHAnsi" w:cstheme="majorBidi"/>
      <w:b/>
      <w:bCs/>
      <w:i/>
      <w:iCs/>
      <w:color w:val="4F81BD" w:themeColor="accent1"/>
      <w:sz w:val="22"/>
      <w:szCs w:val="22"/>
      <w:lang w:eastAsia="en-US"/>
    </w:rPr>
  </w:style>
  <w:style w:type="paragraph" w:styleId="TOC4">
    <w:name w:val="toc 4"/>
    <w:basedOn w:val="Normal"/>
    <w:next w:val="Normal"/>
    <w:autoRedefine/>
    <w:uiPriority w:val="39"/>
    <w:unhideWhenUsed/>
    <w:rsid w:val="002116E2"/>
    <w:pPr>
      <w:spacing w:after="100"/>
      <w:ind w:left="660"/>
    </w:pPr>
  </w:style>
  <w:style w:type="character" w:customStyle="1" w:styleId="apple-converted-space">
    <w:name w:val="apple-converted-space"/>
    <w:basedOn w:val="DefaultParagraphFont"/>
    <w:rsid w:val="00390FE2"/>
  </w:style>
  <w:style w:type="paragraph" w:styleId="ListBullet">
    <w:name w:val="List Bullet"/>
    <w:basedOn w:val="Normal"/>
    <w:uiPriority w:val="99"/>
    <w:unhideWhenUsed/>
    <w:rsid w:val="00CF5A44"/>
    <w:pPr>
      <w:numPr>
        <w:numId w:val="32"/>
      </w:numPr>
      <w:contextualSpacing/>
    </w:pPr>
  </w:style>
  <w:style w:type="character" w:styleId="FollowedHyperlink">
    <w:name w:val="FollowedHyperlink"/>
    <w:basedOn w:val="DefaultParagraphFont"/>
    <w:uiPriority w:val="99"/>
    <w:semiHidden/>
    <w:unhideWhenUsed/>
    <w:rsid w:val="00542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975">
      <w:bodyDiv w:val="1"/>
      <w:marLeft w:val="0"/>
      <w:marRight w:val="0"/>
      <w:marTop w:val="0"/>
      <w:marBottom w:val="0"/>
      <w:divBdr>
        <w:top w:val="none" w:sz="0" w:space="0" w:color="auto"/>
        <w:left w:val="none" w:sz="0" w:space="0" w:color="auto"/>
        <w:bottom w:val="none" w:sz="0" w:space="0" w:color="auto"/>
        <w:right w:val="none" w:sz="0" w:space="0" w:color="auto"/>
      </w:divBdr>
    </w:div>
    <w:div w:id="121312817">
      <w:bodyDiv w:val="1"/>
      <w:marLeft w:val="0"/>
      <w:marRight w:val="0"/>
      <w:marTop w:val="0"/>
      <w:marBottom w:val="0"/>
      <w:divBdr>
        <w:top w:val="none" w:sz="0" w:space="0" w:color="auto"/>
        <w:left w:val="none" w:sz="0" w:space="0" w:color="auto"/>
        <w:bottom w:val="none" w:sz="0" w:space="0" w:color="auto"/>
        <w:right w:val="none" w:sz="0" w:space="0" w:color="auto"/>
      </w:divBdr>
    </w:div>
    <w:div w:id="175925919">
      <w:bodyDiv w:val="1"/>
      <w:marLeft w:val="0"/>
      <w:marRight w:val="0"/>
      <w:marTop w:val="0"/>
      <w:marBottom w:val="0"/>
      <w:divBdr>
        <w:top w:val="none" w:sz="0" w:space="0" w:color="auto"/>
        <w:left w:val="none" w:sz="0" w:space="0" w:color="auto"/>
        <w:bottom w:val="none" w:sz="0" w:space="0" w:color="auto"/>
        <w:right w:val="none" w:sz="0" w:space="0" w:color="auto"/>
      </w:divBdr>
    </w:div>
    <w:div w:id="216554115">
      <w:bodyDiv w:val="1"/>
      <w:marLeft w:val="0"/>
      <w:marRight w:val="0"/>
      <w:marTop w:val="0"/>
      <w:marBottom w:val="0"/>
      <w:divBdr>
        <w:top w:val="none" w:sz="0" w:space="0" w:color="auto"/>
        <w:left w:val="none" w:sz="0" w:space="0" w:color="auto"/>
        <w:bottom w:val="none" w:sz="0" w:space="0" w:color="auto"/>
        <w:right w:val="none" w:sz="0" w:space="0" w:color="auto"/>
      </w:divBdr>
    </w:div>
    <w:div w:id="337922674">
      <w:bodyDiv w:val="1"/>
      <w:marLeft w:val="0"/>
      <w:marRight w:val="0"/>
      <w:marTop w:val="0"/>
      <w:marBottom w:val="0"/>
      <w:divBdr>
        <w:top w:val="none" w:sz="0" w:space="0" w:color="auto"/>
        <w:left w:val="none" w:sz="0" w:space="0" w:color="auto"/>
        <w:bottom w:val="none" w:sz="0" w:space="0" w:color="auto"/>
        <w:right w:val="none" w:sz="0" w:space="0" w:color="auto"/>
      </w:divBdr>
    </w:div>
    <w:div w:id="458230177">
      <w:bodyDiv w:val="1"/>
      <w:marLeft w:val="0"/>
      <w:marRight w:val="0"/>
      <w:marTop w:val="0"/>
      <w:marBottom w:val="0"/>
      <w:divBdr>
        <w:top w:val="none" w:sz="0" w:space="0" w:color="auto"/>
        <w:left w:val="none" w:sz="0" w:space="0" w:color="auto"/>
        <w:bottom w:val="none" w:sz="0" w:space="0" w:color="auto"/>
        <w:right w:val="none" w:sz="0" w:space="0" w:color="auto"/>
      </w:divBdr>
    </w:div>
    <w:div w:id="534276250">
      <w:bodyDiv w:val="1"/>
      <w:marLeft w:val="0"/>
      <w:marRight w:val="0"/>
      <w:marTop w:val="0"/>
      <w:marBottom w:val="0"/>
      <w:divBdr>
        <w:top w:val="none" w:sz="0" w:space="0" w:color="auto"/>
        <w:left w:val="none" w:sz="0" w:space="0" w:color="auto"/>
        <w:bottom w:val="none" w:sz="0" w:space="0" w:color="auto"/>
        <w:right w:val="none" w:sz="0" w:space="0" w:color="auto"/>
      </w:divBdr>
    </w:div>
    <w:div w:id="565796394">
      <w:bodyDiv w:val="1"/>
      <w:marLeft w:val="0"/>
      <w:marRight w:val="0"/>
      <w:marTop w:val="0"/>
      <w:marBottom w:val="0"/>
      <w:divBdr>
        <w:top w:val="none" w:sz="0" w:space="0" w:color="auto"/>
        <w:left w:val="none" w:sz="0" w:space="0" w:color="auto"/>
        <w:bottom w:val="none" w:sz="0" w:space="0" w:color="auto"/>
        <w:right w:val="none" w:sz="0" w:space="0" w:color="auto"/>
      </w:divBdr>
    </w:div>
    <w:div w:id="572547006">
      <w:bodyDiv w:val="1"/>
      <w:marLeft w:val="0"/>
      <w:marRight w:val="0"/>
      <w:marTop w:val="0"/>
      <w:marBottom w:val="0"/>
      <w:divBdr>
        <w:top w:val="none" w:sz="0" w:space="0" w:color="auto"/>
        <w:left w:val="none" w:sz="0" w:space="0" w:color="auto"/>
        <w:bottom w:val="none" w:sz="0" w:space="0" w:color="auto"/>
        <w:right w:val="none" w:sz="0" w:space="0" w:color="auto"/>
      </w:divBdr>
    </w:div>
    <w:div w:id="574323189">
      <w:bodyDiv w:val="1"/>
      <w:marLeft w:val="0"/>
      <w:marRight w:val="0"/>
      <w:marTop w:val="0"/>
      <w:marBottom w:val="0"/>
      <w:divBdr>
        <w:top w:val="none" w:sz="0" w:space="0" w:color="auto"/>
        <w:left w:val="none" w:sz="0" w:space="0" w:color="auto"/>
        <w:bottom w:val="none" w:sz="0" w:space="0" w:color="auto"/>
        <w:right w:val="none" w:sz="0" w:space="0" w:color="auto"/>
      </w:divBdr>
    </w:div>
    <w:div w:id="702097828">
      <w:bodyDiv w:val="1"/>
      <w:marLeft w:val="0"/>
      <w:marRight w:val="0"/>
      <w:marTop w:val="0"/>
      <w:marBottom w:val="0"/>
      <w:divBdr>
        <w:top w:val="none" w:sz="0" w:space="0" w:color="auto"/>
        <w:left w:val="none" w:sz="0" w:space="0" w:color="auto"/>
        <w:bottom w:val="none" w:sz="0" w:space="0" w:color="auto"/>
        <w:right w:val="none" w:sz="0" w:space="0" w:color="auto"/>
      </w:divBdr>
    </w:div>
    <w:div w:id="815608953">
      <w:bodyDiv w:val="1"/>
      <w:marLeft w:val="0"/>
      <w:marRight w:val="0"/>
      <w:marTop w:val="0"/>
      <w:marBottom w:val="0"/>
      <w:divBdr>
        <w:top w:val="none" w:sz="0" w:space="0" w:color="auto"/>
        <w:left w:val="none" w:sz="0" w:space="0" w:color="auto"/>
        <w:bottom w:val="none" w:sz="0" w:space="0" w:color="auto"/>
        <w:right w:val="none" w:sz="0" w:space="0" w:color="auto"/>
      </w:divBdr>
    </w:div>
    <w:div w:id="924266499">
      <w:bodyDiv w:val="1"/>
      <w:marLeft w:val="0"/>
      <w:marRight w:val="0"/>
      <w:marTop w:val="0"/>
      <w:marBottom w:val="0"/>
      <w:divBdr>
        <w:top w:val="none" w:sz="0" w:space="0" w:color="auto"/>
        <w:left w:val="none" w:sz="0" w:space="0" w:color="auto"/>
        <w:bottom w:val="none" w:sz="0" w:space="0" w:color="auto"/>
        <w:right w:val="none" w:sz="0" w:space="0" w:color="auto"/>
      </w:divBdr>
    </w:div>
    <w:div w:id="964196204">
      <w:bodyDiv w:val="1"/>
      <w:marLeft w:val="0"/>
      <w:marRight w:val="0"/>
      <w:marTop w:val="0"/>
      <w:marBottom w:val="0"/>
      <w:divBdr>
        <w:top w:val="none" w:sz="0" w:space="0" w:color="auto"/>
        <w:left w:val="none" w:sz="0" w:space="0" w:color="auto"/>
        <w:bottom w:val="none" w:sz="0" w:space="0" w:color="auto"/>
        <w:right w:val="none" w:sz="0" w:space="0" w:color="auto"/>
      </w:divBdr>
    </w:div>
    <w:div w:id="970551272">
      <w:bodyDiv w:val="1"/>
      <w:marLeft w:val="0"/>
      <w:marRight w:val="0"/>
      <w:marTop w:val="0"/>
      <w:marBottom w:val="0"/>
      <w:divBdr>
        <w:top w:val="none" w:sz="0" w:space="0" w:color="auto"/>
        <w:left w:val="none" w:sz="0" w:space="0" w:color="auto"/>
        <w:bottom w:val="none" w:sz="0" w:space="0" w:color="auto"/>
        <w:right w:val="none" w:sz="0" w:space="0" w:color="auto"/>
      </w:divBdr>
    </w:div>
    <w:div w:id="1026102482">
      <w:bodyDiv w:val="1"/>
      <w:marLeft w:val="0"/>
      <w:marRight w:val="0"/>
      <w:marTop w:val="0"/>
      <w:marBottom w:val="0"/>
      <w:divBdr>
        <w:top w:val="none" w:sz="0" w:space="0" w:color="auto"/>
        <w:left w:val="none" w:sz="0" w:space="0" w:color="auto"/>
        <w:bottom w:val="none" w:sz="0" w:space="0" w:color="auto"/>
        <w:right w:val="none" w:sz="0" w:space="0" w:color="auto"/>
      </w:divBdr>
    </w:div>
    <w:div w:id="1045063370">
      <w:bodyDiv w:val="1"/>
      <w:marLeft w:val="0"/>
      <w:marRight w:val="0"/>
      <w:marTop w:val="0"/>
      <w:marBottom w:val="0"/>
      <w:divBdr>
        <w:top w:val="none" w:sz="0" w:space="0" w:color="auto"/>
        <w:left w:val="none" w:sz="0" w:space="0" w:color="auto"/>
        <w:bottom w:val="none" w:sz="0" w:space="0" w:color="auto"/>
        <w:right w:val="none" w:sz="0" w:space="0" w:color="auto"/>
      </w:divBdr>
    </w:div>
    <w:div w:id="1081755678">
      <w:bodyDiv w:val="1"/>
      <w:marLeft w:val="0"/>
      <w:marRight w:val="0"/>
      <w:marTop w:val="0"/>
      <w:marBottom w:val="0"/>
      <w:divBdr>
        <w:top w:val="none" w:sz="0" w:space="0" w:color="auto"/>
        <w:left w:val="none" w:sz="0" w:space="0" w:color="auto"/>
        <w:bottom w:val="none" w:sz="0" w:space="0" w:color="auto"/>
        <w:right w:val="none" w:sz="0" w:space="0" w:color="auto"/>
      </w:divBdr>
    </w:div>
    <w:div w:id="1293363941">
      <w:bodyDiv w:val="1"/>
      <w:marLeft w:val="0"/>
      <w:marRight w:val="0"/>
      <w:marTop w:val="0"/>
      <w:marBottom w:val="0"/>
      <w:divBdr>
        <w:top w:val="none" w:sz="0" w:space="0" w:color="auto"/>
        <w:left w:val="none" w:sz="0" w:space="0" w:color="auto"/>
        <w:bottom w:val="none" w:sz="0" w:space="0" w:color="auto"/>
        <w:right w:val="none" w:sz="0" w:space="0" w:color="auto"/>
      </w:divBdr>
    </w:div>
    <w:div w:id="1342850219">
      <w:bodyDiv w:val="1"/>
      <w:marLeft w:val="0"/>
      <w:marRight w:val="0"/>
      <w:marTop w:val="0"/>
      <w:marBottom w:val="0"/>
      <w:divBdr>
        <w:top w:val="none" w:sz="0" w:space="0" w:color="auto"/>
        <w:left w:val="none" w:sz="0" w:space="0" w:color="auto"/>
        <w:bottom w:val="none" w:sz="0" w:space="0" w:color="auto"/>
        <w:right w:val="none" w:sz="0" w:space="0" w:color="auto"/>
      </w:divBdr>
    </w:div>
    <w:div w:id="1374231244">
      <w:bodyDiv w:val="1"/>
      <w:marLeft w:val="0"/>
      <w:marRight w:val="0"/>
      <w:marTop w:val="0"/>
      <w:marBottom w:val="0"/>
      <w:divBdr>
        <w:top w:val="none" w:sz="0" w:space="0" w:color="auto"/>
        <w:left w:val="none" w:sz="0" w:space="0" w:color="auto"/>
        <w:bottom w:val="none" w:sz="0" w:space="0" w:color="auto"/>
        <w:right w:val="none" w:sz="0" w:space="0" w:color="auto"/>
      </w:divBdr>
    </w:div>
    <w:div w:id="1407916317">
      <w:bodyDiv w:val="1"/>
      <w:marLeft w:val="0"/>
      <w:marRight w:val="0"/>
      <w:marTop w:val="0"/>
      <w:marBottom w:val="0"/>
      <w:divBdr>
        <w:top w:val="none" w:sz="0" w:space="0" w:color="auto"/>
        <w:left w:val="none" w:sz="0" w:space="0" w:color="auto"/>
        <w:bottom w:val="none" w:sz="0" w:space="0" w:color="auto"/>
        <w:right w:val="none" w:sz="0" w:space="0" w:color="auto"/>
      </w:divBdr>
    </w:div>
    <w:div w:id="1412118217">
      <w:bodyDiv w:val="1"/>
      <w:marLeft w:val="0"/>
      <w:marRight w:val="0"/>
      <w:marTop w:val="0"/>
      <w:marBottom w:val="0"/>
      <w:divBdr>
        <w:top w:val="none" w:sz="0" w:space="0" w:color="auto"/>
        <w:left w:val="none" w:sz="0" w:space="0" w:color="auto"/>
        <w:bottom w:val="none" w:sz="0" w:space="0" w:color="auto"/>
        <w:right w:val="none" w:sz="0" w:space="0" w:color="auto"/>
      </w:divBdr>
    </w:div>
    <w:div w:id="1546914418">
      <w:bodyDiv w:val="1"/>
      <w:marLeft w:val="0"/>
      <w:marRight w:val="0"/>
      <w:marTop w:val="0"/>
      <w:marBottom w:val="0"/>
      <w:divBdr>
        <w:top w:val="none" w:sz="0" w:space="0" w:color="auto"/>
        <w:left w:val="none" w:sz="0" w:space="0" w:color="auto"/>
        <w:bottom w:val="none" w:sz="0" w:space="0" w:color="auto"/>
        <w:right w:val="none" w:sz="0" w:space="0" w:color="auto"/>
      </w:divBdr>
    </w:div>
    <w:div w:id="1586069187">
      <w:bodyDiv w:val="1"/>
      <w:marLeft w:val="0"/>
      <w:marRight w:val="0"/>
      <w:marTop w:val="0"/>
      <w:marBottom w:val="0"/>
      <w:divBdr>
        <w:top w:val="none" w:sz="0" w:space="0" w:color="auto"/>
        <w:left w:val="none" w:sz="0" w:space="0" w:color="auto"/>
        <w:bottom w:val="none" w:sz="0" w:space="0" w:color="auto"/>
        <w:right w:val="none" w:sz="0" w:space="0" w:color="auto"/>
      </w:divBdr>
    </w:div>
    <w:div w:id="1610310650">
      <w:bodyDiv w:val="1"/>
      <w:marLeft w:val="0"/>
      <w:marRight w:val="0"/>
      <w:marTop w:val="0"/>
      <w:marBottom w:val="0"/>
      <w:divBdr>
        <w:top w:val="none" w:sz="0" w:space="0" w:color="auto"/>
        <w:left w:val="none" w:sz="0" w:space="0" w:color="auto"/>
        <w:bottom w:val="none" w:sz="0" w:space="0" w:color="auto"/>
        <w:right w:val="none" w:sz="0" w:space="0" w:color="auto"/>
      </w:divBdr>
    </w:div>
    <w:div w:id="1656567225">
      <w:bodyDiv w:val="1"/>
      <w:marLeft w:val="0"/>
      <w:marRight w:val="0"/>
      <w:marTop w:val="0"/>
      <w:marBottom w:val="0"/>
      <w:divBdr>
        <w:top w:val="none" w:sz="0" w:space="0" w:color="auto"/>
        <w:left w:val="none" w:sz="0" w:space="0" w:color="auto"/>
        <w:bottom w:val="none" w:sz="0" w:space="0" w:color="auto"/>
        <w:right w:val="none" w:sz="0" w:space="0" w:color="auto"/>
      </w:divBdr>
    </w:div>
    <w:div w:id="1666787362">
      <w:bodyDiv w:val="1"/>
      <w:marLeft w:val="0"/>
      <w:marRight w:val="0"/>
      <w:marTop w:val="0"/>
      <w:marBottom w:val="0"/>
      <w:divBdr>
        <w:top w:val="none" w:sz="0" w:space="0" w:color="auto"/>
        <w:left w:val="none" w:sz="0" w:space="0" w:color="auto"/>
        <w:bottom w:val="none" w:sz="0" w:space="0" w:color="auto"/>
        <w:right w:val="none" w:sz="0" w:space="0" w:color="auto"/>
      </w:divBdr>
    </w:div>
    <w:div w:id="1729108527">
      <w:bodyDiv w:val="1"/>
      <w:marLeft w:val="0"/>
      <w:marRight w:val="0"/>
      <w:marTop w:val="0"/>
      <w:marBottom w:val="0"/>
      <w:divBdr>
        <w:top w:val="none" w:sz="0" w:space="0" w:color="auto"/>
        <w:left w:val="none" w:sz="0" w:space="0" w:color="auto"/>
        <w:bottom w:val="none" w:sz="0" w:space="0" w:color="auto"/>
        <w:right w:val="none" w:sz="0" w:space="0" w:color="auto"/>
      </w:divBdr>
    </w:div>
    <w:div w:id="1845852003">
      <w:bodyDiv w:val="1"/>
      <w:marLeft w:val="0"/>
      <w:marRight w:val="0"/>
      <w:marTop w:val="0"/>
      <w:marBottom w:val="0"/>
      <w:divBdr>
        <w:top w:val="none" w:sz="0" w:space="0" w:color="auto"/>
        <w:left w:val="none" w:sz="0" w:space="0" w:color="auto"/>
        <w:bottom w:val="none" w:sz="0" w:space="0" w:color="auto"/>
        <w:right w:val="none" w:sz="0" w:space="0" w:color="auto"/>
      </w:divBdr>
    </w:div>
    <w:div w:id="1846093998">
      <w:bodyDiv w:val="1"/>
      <w:marLeft w:val="0"/>
      <w:marRight w:val="0"/>
      <w:marTop w:val="0"/>
      <w:marBottom w:val="0"/>
      <w:divBdr>
        <w:top w:val="none" w:sz="0" w:space="0" w:color="auto"/>
        <w:left w:val="none" w:sz="0" w:space="0" w:color="auto"/>
        <w:bottom w:val="none" w:sz="0" w:space="0" w:color="auto"/>
        <w:right w:val="none" w:sz="0" w:space="0" w:color="auto"/>
      </w:divBdr>
    </w:div>
    <w:div w:id="1883128180">
      <w:bodyDiv w:val="1"/>
      <w:marLeft w:val="0"/>
      <w:marRight w:val="0"/>
      <w:marTop w:val="0"/>
      <w:marBottom w:val="0"/>
      <w:divBdr>
        <w:top w:val="none" w:sz="0" w:space="0" w:color="auto"/>
        <w:left w:val="none" w:sz="0" w:space="0" w:color="auto"/>
        <w:bottom w:val="none" w:sz="0" w:space="0" w:color="auto"/>
        <w:right w:val="none" w:sz="0" w:space="0" w:color="auto"/>
      </w:divBdr>
    </w:div>
    <w:div w:id="1893954411">
      <w:bodyDiv w:val="1"/>
      <w:marLeft w:val="0"/>
      <w:marRight w:val="0"/>
      <w:marTop w:val="0"/>
      <w:marBottom w:val="0"/>
      <w:divBdr>
        <w:top w:val="none" w:sz="0" w:space="0" w:color="auto"/>
        <w:left w:val="none" w:sz="0" w:space="0" w:color="auto"/>
        <w:bottom w:val="none" w:sz="0" w:space="0" w:color="auto"/>
        <w:right w:val="none" w:sz="0" w:space="0" w:color="auto"/>
      </w:divBdr>
    </w:div>
    <w:div w:id="1933583209">
      <w:bodyDiv w:val="1"/>
      <w:marLeft w:val="0"/>
      <w:marRight w:val="0"/>
      <w:marTop w:val="0"/>
      <w:marBottom w:val="0"/>
      <w:divBdr>
        <w:top w:val="none" w:sz="0" w:space="0" w:color="auto"/>
        <w:left w:val="none" w:sz="0" w:space="0" w:color="auto"/>
        <w:bottom w:val="none" w:sz="0" w:space="0" w:color="auto"/>
        <w:right w:val="none" w:sz="0" w:space="0" w:color="auto"/>
      </w:divBdr>
    </w:div>
    <w:div w:id="1974016039">
      <w:bodyDiv w:val="1"/>
      <w:marLeft w:val="0"/>
      <w:marRight w:val="0"/>
      <w:marTop w:val="0"/>
      <w:marBottom w:val="0"/>
      <w:divBdr>
        <w:top w:val="none" w:sz="0" w:space="0" w:color="auto"/>
        <w:left w:val="none" w:sz="0" w:space="0" w:color="auto"/>
        <w:bottom w:val="none" w:sz="0" w:space="0" w:color="auto"/>
        <w:right w:val="none" w:sz="0" w:space="0" w:color="auto"/>
      </w:divBdr>
    </w:div>
    <w:div w:id="21353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asoporte.axoft.com/hotfix/"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xoft.com" TargetMode="External"/><Relationship Id="rId1" Type="http://schemas.openxmlformats.org/officeDocument/2006/relationships/hyperlink" Target="mailto:servicios@ax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19E8-B25D-4C51-85C5-88B78B5A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2066</Words>
  <Characters>11365</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2017-05-17T17:00:00Z</dcterms:created>
  <dcterms:modified xsi:type="dcterms:W3CDTF">2017-05-18T02:08:00Z</dcterms:modified>
</cp:coreProperties>
</file>