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39" w:rsidRDefault="002E58B1" w:rsidP="00000B39">
      <w:pPr>
        <w:jc w:val="center"/>
        <w:rPr>
          <w:b/>
          <w:sz w:val="24"/>
          <w:szCs w:val="24"/>
          <w:u w:val="single"/>
        </w:rPr>
      </w:pPr>
      <w:r>
        <w:rPr>
          <w:b/>
          <w:sz w:val="24"/>
          <w:szCs w:val="24"/>
          <w:u w:val="single"/>
        </w:rPr>
        <w:t>-</w:t>
      </w:r>
      <w:r w:rsidR="00F03236">
        <w:rPr>
          <w:b/>
          <w:sz w:val="24"/>
          <w:szCs w:val="24"/>
          <w:u w:val="single"/>
        </w:rPr>
        <w:t>Implementación Percepció</w:t>
      </w:r>
      <w:r w:rsidR="00BA20BA">
        <w:rPr>
          <w:b/>
          <w:sz w:val="24"/>
          <w:szCs w:val="24"/>
          <w:u w:val="single"/>
        </w:rPr>
        <w:t>n IIBB AGIP – Capital Federal</w:t>
      </w:r>
      <w:r w:rsidR="00F03236">
        <w:rPr>
          <w:b/>
          <w:sz w:val="24"/>
          <w:szCs w:val="24"/>
          <w:u w:val="single"/>
        </w:rPr>
        <w:t xml:space="preserve"> – </w:t>
      </w:r>
      <w:r w:rsidR="00864245">
        <w:rPr>
          <w:b/>
          <w:sz w:val="24"/>
          <w:szCs w:val="24"/>
          <w:u w:val="single"/>
        </w:rPr>
        <w:t>Régimen</w:t>
      </w:r>
      <w:r w:rsidR="0057542D">
        <w:rPr>
          <w:b/>
          <w:sz w:val="24"/>
          <w:szCs w:val="24"/>
          <w:u w:val="single"/>
        </w:rPr>
        <w:t xml:space="preserve"> General</w:t>
      </w:r>
    </w:p>
    <w:p w:rsidR="00C6698C" w:rsidRDefault="00C6698C" w:rsidP="00C6698C">
      <w:pPr>
        <w:jc w:val="both"/>
      </w:pPr>
      <w:r>
        <w:t xml:space="preserve">Este documento </w:t>
      </w:r>
      <w:r w:rsidRPr="00BD377A">
        <w:t xml:space="preserve">tiene como finalidad </w:t>
      </w:r>
      <w:r>
        <w:t>explicar nuestra recomendación para implementar, las percepciones y/o retenciones definibles de AGIP (Capital Federal)</w:t>
      </w:r>
      <w:r w:rsidRPr="007E1950">
        <w:t xml:space="preserve"> considerando lo dispuesto por </w:t>
      </w:r>
      <w:r>
        <w:t>las RG 364/16 y 421/16. Dichas normas especifican que a partir del 1/11/2016, tenemos 16 Grupos, cada uno con una alícuota distinta.</w:t>
      </w:r>
    </w:p>
    <w:p w:rsidR="00161A55" w:rsidRDefault="00161A55" w:rsidP="00000B39">
      <w:pPr>
        <w:jc w:val="both"/>
      </w:pPr>
      <w:r>
        <w:t>De esta manera, cada contribuyente va a estar clasificado en uno de estos 16 grupos y leyendo el padrón nuevo, sabrá que alícuota le corresponde.</w:t>
      </w:r>
    </w:p>
    <w:p w:rsidR="00161A55" w:rsidRDefault="00161A55" w:rsidP="00A3195A">
      <w:pPr>
        <w:rPr>
          <w:b/>
          <w:u w:val="single"/>
        </w:rPr>
      </w:pPr>
      <w:r w:rsidRPr="00161A55">
        <w:rPr>
          <w:b/>
          <w:u w:val="single"/>
        </w:rPr>
        <w:t>VENTAS</w:t>
      </w:r>
    </w:p>
    <w:p w:rsidR="001444DB" w:rsidRPr="00ED01B9" w:rsidRDefault="001444DB" w:rsidP="001444DB">
      <w:pPr>
        <w:rPr>
          <w:b/>
          <w:i/>
        </w:rPr>
      </w:pPr>
      <w:r>
        <w:rPr>
          <w:b/>
          <w:i/>
        </w:rPr>
        <w:t>1</w:t>
      </w:r>
      <w:r w:rsidRPr="00ED01B9">
        <w:rPr>
          <w:b/>
          <w:i/>
        </w:rPr>
        <w:t>.- Base de cálculo diferencial</w:t>
      </w:r>
    </w:p>
    <w:p w:rsidR="001444DB" w:rsidRPr="00010119" w:rsidRDefault="001444DB" w:rsidP="001444DB">
      <w:pPr>
        <w:rPr>
          <w:color w:val="000000"/>
        </w:rPr>
      </w:pPr>
      <w:r>
        <w:rPr>
          <w:color w:val="000000"/>
        </w:rPr>
        <w:t xml:space="preserve">Es necesario crear distintas clasificaciones para poder establecer diferentes bases de cálculo en las percepciones. Por ejemplo, </w:t>
      </w:r>
      <w:r w:rsidRPr="00010119">
        <w:rPr>
          <w:color w:val="000000"/>
        </w:rPr>
        <w:t xml:space="preserve">la base de cálculo para </w:t>
      </w:r>
      <w:r>
        <w:rPr>
          <w:color w:val="000000"/>
        </w:rPr>
        <w:t xml:space="preserve">Exentos es diferente a </w:t>
      </w:r>
      <w:r w:rsidRPr="00010119">
        <w:rPr>
          <w:color w:val="000000"/>
        </w:rPr>
        <w:t>Responsable</w:t>
      </w:r>
      <w:r>
        <w:rPr>
          <w:color w:val="000000"/>
        </w:rPr>
        <w:t>s</w:t>
      </w:r>
      <w:r w:rsidRPr="00010119">
        <w:rPr>
          <w:color w:val="000000"/>
        </w:rPr>
        <w:t xml:space="preserve"> Inscripto</w:t>
      </w:r>
      <w:r>
        <w:rPr>
          <w:color w:val="000000"/>
        </w:rPr>
        <w:t>s</w:t>
      </w:r>
      <w:r w:rsidRPr="00010119">
        <w:rPr>
          <w:color w:val="000000"/>
        </w:rPr>
        <w:t>.</w:t>
      </w:r>
    </w:p>
    <w:p w:rsidR="001444DB" w:rsidRPr="00010119" w:rsidRDefault="001444DB" w:rsidP="001444DB">
      <w:pPr>
        <w:ind w:left="708"/>
        <w:rPr>
          <w:color w:val="000000"/>
        </w:rPr>
      </w:pPr>
      <w:r w:rsidRPr="00AF1C0C">
        <w:rPr>
          <w:b/>
          <w:color w:val="000000"/>
        </w:rPr>
        <w:t>Responsable Inscripto</w:t>
      </w:r>
      <w:r>
        <w:rPr>
          <w:color w:val="000000"/>
        </w:rPr>
        <w:t xml:space="preserve">: </w:t>
      </w:r>
      <w:r w:rsidRPr="00010119">
        <w:rPr>
          <w:color w:val="000000"/>
        </w:rPr>
        <w:t xml:space="preserve">Neto Gravado </w:t>
      </w:r>
      <w:r>
        <w:rPr>
          <w:color w:val="000000"/>
        </w:rPr>
        <w:t>+</w:t>
      </w:r>
      <w:r w:rsidRPr="00010119">
        <w:rPr>
          <w:color w:val="000000"/>
        </w:rPr>
        <w:t xml:space="preserve"> importe</w:t>
      </w:r>
      <w:r>
        <w:rPr>
          <w:color w:val="000000"/>
        </w:rPr>
        <w:t>s</w:t>
      </w:r>
      <w:r w:rsidRPr="00010119">
        <w:rPr>
          <w:color w:val="000000"/>
        </w:rPr>
        <w:t xml:space="preserve"> </w:t>
      </w:r>
      <w:r>
        <w:rPr>
          <w:color w:val="000000"/>
        </w:rPr>
        <w:t>e</w:t>
      </w:r>
      <w:r w:rsidRPr="00010119">
        <w:rPr>
          <w:color w:val="000000"/>
        </w:rPr>
        <w:t>xento</w:t>
      </w:r>
      <w:r>
        <w:rPr>
          <w:color w:val="000000"/>
        </w:rPr>
        <w:t>s</w:t>
      </w:r>
      <w:r w:rsidRPr="00010119">
        <w:rPr>
          <w:color w:val="000000"/>
        </w:rPr>
        <w:t>.</w:t>
      </w:r>
      <w:r>
        <w:rPr>
          <w:color w:val="000000"/>
        </w:rPr>
        <w:br/>
      </w:r>
      <w:r>
        <w:rPr>
          <w:b/>
          <w:color w:val="000000"/>
        </w:rPr>
        <w:t>Exentos</w:t>
      </w:r>
      <w:r w:rsidRPr="00AF1C0C">
        <w:rPr>
          <w:b/>
          <w:color w:val="000000"/>
        </w:rPr>
        <w:t>:</w:t>
      </w:r>
      <w:r>
        <w:rPr>
          <w:color w:val="000000"/>
        </w:rPr>
        <w:t xml:space="preserve"> </w:t>
      </w:r>
      <w:r w:rsidRPr="00010119">
        <w:rPr>
          <w:color w:val="000000"/>
        </w:rPr>
        <w:t>Total del comprobante</w:t>
      </w:r>
      <w:r>
        <w:rPr>
          <w:color w:val="000000"/>
        </w:rPr>
        <w:br/>
      </w:r>
    </w:p>
    <w:p w:rsidR="001444DB" w:rsidRPr="00010119" w:rsidRDefault="001444DB" w:rsidP="001444DB">
      <w:pPr>
        <w:rPr>
          <w:color w:val="000000"/>
        </w:rPr>
      </w:pPr>
      <w:r>
        <w:rPr>
          <w:color w:val="000000"/>
        </w:rPr>
        <w:t>Crear una clasificación para cada uno de ellos en el proceso</w:t>
      </w:r>
      <w:r w:rsidRPr="00010119">
        <w:rPr>
          <w:color w:val="000000"/>
        </w:rPr>
        <w:t xml:space="preserve"> “Clasificaciones para percepciones definibles”.</w:t>
      </w:r>
    </w:p>
    <w:p w:rsidR="001444DB" w:rsidRDefault="001444DB" w:rsidP="001444DB">
      <w:pPr>
        <w:rPr>
          <w:color w:val="000000"/>
        </w:rPr>
      </w:pPr>
      <w:r>
        <w:rPr>
          <w:noProof/>
          <w:color w:val="000000"/>
          <w:lang w:eastAsia="es-AR"/>
        </w:rPr>
        <w:drawing>
          <wp:inline distT="0" distB="0" distL="0" distR="0" wp14:anchorId="468E3072" wp14:editId="57E54FBE">
            <wp:extent cx="3312795" cy="3994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2795" cy="3994150"/>
                    </a:xfrm>
                    <a:prstGeom prst="rect">
                      <a:avLst/>
                    </a:prstGeom>
                    <a:noFill/>
                    <a:ln>
                      <a:noFill/>
                    </a:ln>
                  </pic:spPr>
                </pic:pic>
              </a:graphicData>
            </a:graphic>
          </wp:inline>
        </w:drawing>
      </w:r>
    </w:p>
    <w:p w:rsidR="001444DB" w:rsidRDefault="001444DB" w:rsidP="001444DB">
      <w:pPr>
        <w:rPr>
          <w:noProof/>
          <w:lang w:eastAsia="es-AR"/>
        </w:rPr>
      </w:pPr>
      <w:r>
        <w:rPr>
          <w:noProof/>
          <w:lang w:eastAsia="es-AR"/>
        </w:rPr>
        <w:lastRenderedPageBreak/>
        <w:t>Una vez creadas, las damos de alta  en todas las percepciones definibles que tengamos.</w:t>
      </w:r>
    </w:p>
    <w:p w:rsidR="001444DB" w:rsidRDefault="001444DB" w:rsidP="001444DB">
      <w:pPr>
        <w:rPr>
          <w:noProof/>
          <w:lang w:eastAsia="es-AR"/>
        </w:rPr>
      </w:pPr>
      <w:r>
        <w:rPr>
          <w:noProof/>
          <w:lang w:eastAsia="es-AR"/>
        </w:rPr>
        <w:t xml:space="preserve"> </w:t>
      </w:r>
      <w:r>
        <w:rPr>
          <w:noProof/>
          <w:lang w:eastAsia="es-AR"/>
        </w:rPr>
        <w:drawing>
          <wp:inline distT="0" distB="0" distL="0" distR="0" wp14:anchorId="13310D0F" wp14:editId="5BCEB48A">
            <wp:extent cx="5581015" cy="11817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1181735"/>
                    </a:xfrm>
                    <a:prstGeom prst="rect">
                      <a:avLst/>
                    </a:prstGeom>
                    <a:noFill/>
                    <a:ln>
                      <a:noFill/>
                    </a:ln>
                  </pic:spPr>
                </pic:pic>
              </a:graphicData>
            </a:graphic>
          </wp:inline>
        </w:drawing>
      </w:r>
    </w:p>
    <w:p w:rsidR="00A3195A" w:rsidRPr="00A3195A" w:rsidRDefault="001444DB" w:rsidP="00A3195A">
      <w:pPr>
        <w:rPr>
          <w:b/>
          <w:i/>
        </w:rPr>
      </w:pPr>
      <w:r>
        <w:rPr>
          <w:b/>
          <w:i/>
        </w:rPr>
        <w:t>2</w:t>
      </w:r>
      <w:r w:rsidR="00A3195A" w:rsidRPr="00A3195A">
        <w:rPr>
          <w:b/>
          <w:i/>
        </w:rPr>
        <w:t>.- Una percepción por cada alícuota.</w:t>
      </w:r>
    </w:p>
    <w:p w:rsidR="00BA20BA" w:rsidRDefault="001444DB" w:rsidP="00BA20BA">
      <w:r>
        <w:t>C</w:t>
      </w:r>
      <w:r w:rsidR="00BA20BA">
        <w:t xml:space="preserve">rear una percepción definible por cada una de las distintas alícuotas a calcular, ya que las mismas </w:t>
      </w:r>
      <w:r w:rsidR="00DB44C8">
        <w:t xml:space="preserve">poseen </w:t>
      </w:r>
      <w:r w:rsidR="00864245">
        <w:t>una mínima base imponible.</w:t>
      </w:r>
    </w:p>
    <w:p w:rsidR="001444DB" w:rsidRDefault="00864245" w:rsidP="00000B39">
      <w:r w:rsidRPr="00864245">
        <w:t xml:space="preserve">Esta </w:t>
      </w:r>
      <w:r w:rsidR="00BA20BA">
        <w:t>“</w:t>
      </w:r>
      <w:r w:rsidR="00F0113F">
        <w:t>Mínima Base Imponible</w:t>
      </w:r>
      <w:r>
        <w:t xml:space="preserve">” es de </w:t>
      </w:r>
      <w:r w:rsidR="00BA20BA">
        <w:t xml:space="preserve">$300, </w:t>
      </w:r>
      <w:r>
        <w:t xml:space="preserve">por ende, si la base de cálculo de la percepción es inferior a este monto, </w:t>
      </w:r>
      <w:r w:rsidR="00BA20BA">
        <w:t xml:space="preserve">no debemos calcular </w:t>
      </w:r>
      <w:r w:rsidR="00161A55">
        <w:t>el impuesto</w:t>
      </w:r>
      <w:r w:rsidR="00BA20BA">
        <w:t>, caso contrario, debemos aplicar la alícuota por el total de la base de cálculo.</w:t>
      </w:r>
      <w:r w:rsidR="007E1950">
        <w:t xml:space="preserve"> </w:t>
      </w:r>
    </w:p>
    <w:p w:rsidR="0026619B" w:rsidRDefault="001444DB" w:rsidP="00000B39">
      <w:r>
        <w:t xml:space="preserve">Por ejemplo: </w:t>
      </w:r>
      <w:r w:rsidR="0097382F">
        <w:br/>
      </w:r>
      <w:r>
        <w:t>S</w:t>
      </w:r>
      <w:r w:rsidR="00864245">
        <w:t>i la alícuota es de 3</w:t>
      </w:r>
      <w:r w:rsidR="00BA20BA">
        <w:t>% y la base de cálculo es $</w:t>
      </w:r>
      <w:r w:rsidR="0026619B">
        <w:t xml:space="preserve"> </w:t>
      </w:r>
      <w:r w:rsidR="00530549">
        <w:t>299</w:t>
      </w:r>
      <w:r>
        <w:t xml:space="preserve">, </w:t>
      </w:r>
      <w:r w:rsidR="00530549">
        <w:t>la percepción valdría $</w:t>
      </w:r>
      <w:r w:rsidR="0026619B">
        <w:t xml:space="preserve"> </w:t>
      </w:r>
      <w:r w:rsidR="00530549">
        <w:t>0</w:t>
      </w:r>
      <w:r>
        <w:t xml:space="preserve">. </w:t>
      </w:r>
      <w:r w:rsidR="0097382F">
        <w:br/>
      </w:r>
      <w:r>
        <w:t>S</w:t>
      </w:r>
      <w:r w:rsidR="00BA20BA">
        <w:t xml:space="preserve">i la base de cálculo </w:t>
      </w:r>
      <w:r w:rsidR="00530549">
        <w:t>es</w:t>
      </w:r>
      <w:r w:rsidR="00BA20BA">
        <w:t xml:space="preserve"> $301, la percepción </w:t>
      </w:r>
      <w:r w:rsidR="00864245">
        <w:t>es $</w:t>
      </w:r>
      <w:r w:rsidR="0026619B">
        <w:t xml:space="preserve"> </w:t>
      </w:r>
      <w:r w:rsidR="00864245">
        <w:t>9</w:t>
      </w:r>
      <w:r w:rsidR="00530549">
        <w:t>,0</w:t>
      </w:r>
      <w:r w:rsidR="00864245">
        <w:t>3</w:t>
      </w:r>
      <w:r w:rsidR="00530549">
        <w:t xml:space="preserve"> ($</w:t>
      </w:r>
      <w:r w:rsidR="00864245">
        <w:t>301*3</w:t>
      </w:r>
      <w:r w:rsidR="00161A55">
        <w:t xml:space="preserve">%). </w:t>
      </w:r>
    </w:p>
    <w:p w:rsidR="00000B39" w:rsidRDefault="00530549" w:rsidP="00000B39">
      <w:r>
        <w:t xml:space="preserve">Como </w:t>
      </w:r>
      <w:r w:rsidR="00645E97">
        <w:t>el sistema</w:t>
      </w:r>
      <w:r>
        <w:t xml:space="preserve"> no posee el</w:t>
      </w:r>
      <w:r w:rsidR="00BA20BA" w:rsidRPr="00E510D8">
        <w:t xml:space="preserve"> campo “</w:t>
      </w:r>
      <w:r w:rsidR="00AC7897">
        <w:t>Mínima Base de Cálculo</w:t>
      </w:r>
      <w:r w:rsidR="00BA20BA" w:rsidRPr="00E510D8">
        <w:t>”, debemos utilizar el campo “Mínimo de Percepción”</w:t>
      </w:r>
      <w:r>
        <w:t xml:space="preserve"> y hacer el cálculo inverso.</w:t>
      </w:r>
    </w:p>
    <w:p w:rsidR="00530549" w:rsidRDefault="00530549" w:rsidP="00161A55">
      <w:pPr>
        <w:rPr>
          <w:b/>
          <w:sz w:val="24"/>
          <w:szCs w:val="24"/>
        </w:rPr>
      </w:pPr>
      <w:r w:rsidRPr="00AC7897">
        <w:t>MINIMO DE PERCEPCIÓN = MINIMA BASE DE CÁLCULO * (ALICUOTA/100)</w:t>
      </w:r>
      <w:r w:rsidR="00161A55">
        <w:br/>
      </w:r>
      <w:r w:rsidR="00861CD1">
        <w:t>En una alícuota del 0.10</w:t>
      </w:r>
      <w:r w:rsidR="00F0113F">
        <w:t xml:space="preserve">% </w:t>
      </w:r>
      <w:r w:rsidRPr="00E510D8">
        <w:t>seria:</w:t>
      </w:r>
      <w:r>
        <w:t xml:space="preserve"> </w:t>
      </w:r>
      <w:r w:rsidRPr="00E510D8">
        <w:t>MINIMO DE PERCEPCI</w:t>
      </w:r>
      <w:r>
        <w:t>Ó</w:t>
      </w:r>
      <w:r w:rsidRPr="00E510D8">
        <w:t xml:space="preserve">N = </w:t>
      </w:r>
      <w:r>
        <w:t>$</w:t>
      </w:r>
      <w:r w:rsidR="0026619B">
        <w:t xml:space="preserve"> </w:t>
      </w:r>
      <w:r w:rsidRPr="00E510D8">
        <w:t>300</w:t>
      </w:r>
      <w:r w:rsidR="00F05B7C">
        <w:t>*(0.10</w:t>
      </w:r>
      <w:r>
        <w:t>/</w:t>
      </w:r>
      <w:proofErr w:type="gramStart"/>
      <w:r>
        <w:t>100)=</w:t>
      </w:r>
      <w:proofErr w:type="gramEnd"/>
      <w:r>
        <w:t>$</w:t>
      </w:r>
      <w:r w:rsidR="0026619B">
        <w:t xml:space="preserve"> </w:t>
      </w:r>
      <w:r w:rsidR="00F05B7C">
        <w:rPr>
          <w:b/>
          <w:sz w:val="24"/>
          <w:szCs w:val="24"/>
        </w:rPr>
        <w:t>0.30</w:t>
      </w:r>
    </w:p>
    <w:p w:rsidR="00F0113F" w:rsidRDefault="00C0038B" w:rsidP="0097382F">
      <w:pPr>
        <w:ind w:left="708"/>
      </w:pPr>
      <w:r>
        <w:rPr>
          <w:noProof/>
          <w:lang w:eastAsia="es-AR"/>
        </w:rPr>
        <w:drawing>
          <wp:inline distT="0" distB="0" distL="0" distR="0">
            <wp:extent cx="5313680" cy="1130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3680" cy="1130300"/>
                    </a:xfrm>
                    <a:prstGeom prst="rect">
                      <a:avLst/>
                    </a:prstGeom>
                    <a:noFill/>
                    <a:ln>
                      <a:noFill/>
                    </a:ln>
                  </pic:spPr>
                </pic:pic>
              </a:graphicData>
            </a:graphic>
          </wp:inline>
        </w:drawing>
      </w:r>
      <w:r w:rsidR="00F0113F">
        <w:t>Les dejamos un cuadro con el mínimo de percepción por cada grupo/</w:t>
      </w:r>
      <w:r w:rsidR="00864245">
        <w:t>alícuota</w:t>
      </w:r>
      <w:r w:rsidR="00F0113F">
        <w:t>.</w:t>
      </w:r>
    </w:p>
    <w:tbl>
      <w:tblPr>
        <w:tblW w:w="7867" w:type="dxa"/>
        <w:tblInd w:w="75" w:type="dxa"/>
        <w:tblCellMar>
          <w:left w:w="70" w:type="dxa"/>
          <w:right w:w="70" w:type="dxa"/>
        </w:tblCellMar>
        <w:tblLook w:val="04A0" w:firstRow="1" w:lastRow="0" w:firstColumn="1" w:lastColumn="0" w:noHBand="0" w:noVBand="1"/>
      </w:tblPr>
      <w:tblGrid>
        <w:gridCol w:w="703"/>
        <w:gridCol w:w="1419"/>
        <w:gridCol w:w="1842"/>
        <w:gridCol w:w="703"/>
        <w:gridCol w:w="1424"/>
        <w:gridCol w:w="1776"/>
      </w:tblGrid>
      <w:tr w:rsidR="003423AC" w:rsidRPr="003423AC" w:rsidTr="003423AC">
        <w:trPr>
          <w:trHeight w:val="300"/>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Grupo</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Porcentaje</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 xml:space="preserve">Importe </w:t>
            </w:r>
            <w:r w:rsidR="006276CF" w:rsidRPr="003423AC">
              <w:rPr>
                <w:rFonts w:eastAsia="Times New Roman"/>
                <w:color w:val="000000"/>
                <w:lang w:eastAsia="es-AR"/>
              </w:rPr>
              <w:t>Mínimo</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Grupo</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Porcentaje</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 xml:space="preserve">Importe </w:t>
            </w:r>
            <w:r w:rsidR="006276CF" w:rsidRPr="003423AC">
              <w:rPr>
                <w:rFonts w:eastAsia="Times New Roman"/>
                <w:color w:val="000000"/>
                <w:lang w:eastAsia="es-AR"/>
              </w:rPr>
              <w:t>Mínimo</w:t>
            </w:r>
          </w:p>
        </w:tc>
      </w:tr>
      <w:tr w:rsidR="003423AC" w:rsidRPr="003423AC" w:rsidTr="003423AC">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1</w:t>
            </w:r>
          </w:p>
        </w:tc>
        <w:tc>
          <w:tcPr>
            <w:tcW w:w="1419"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0,00%</w:t>
            </w:r>
          </w:p>
        </w:tc>
        <w:tc>
          <w:tcPr>
            <w:tcW w:w="1842"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b/>
                <w:bCs/>
                <w:color w:val="000000"/>
                <w:lang w:eastAsia="es-AR"/>
              </w:rPr>
            </w:pPr>
            <w:r w:rsidRPr="003423AC">
              <w:rPr>
                <w:rFonts w:eastAsia="Times New Roman"/>
                <w:b/>
                <w:bCs/>
                <w:color w:val="000000"/>
                <w:lang w:eastAsia="es-AR"/>
              </w:rPr>
              <w:t>$ 0,00</w:t>
            </w:r>
          </w:p>
        </w:tc>
        <w:tc>
          <w:tcPr>
            <w:tcW w:w="703"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9</w:t>
            </w:r>
          </w:p>
        </w:tc>
        <w:tc>
          <w:tcPr>
            <w:tcW w:w="1424"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2,60%</w:t>
            </w:r>
          </w:p>
        </w:tc>
        <w:tc>
          <w:tcPr>
            <w:tcW w:w="1776"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b/>
                <w:bCs/>
                <w:color w:val="000000"/>
                <w:lang w:eastAsia="es-AR"/>
              </w:rPr>
            </w:pPr>
            <w:r w:rsidRPr="003423AC">
              <w:rPr>
                <w:rFonts w:eastAsia="Times New Roman"/>
                <w:b/>
                <w:bCs/>
                <w:color w:val="000000"/>
                <w:lang w:eastAsia="es-AR"/>
              </w:rPr>
              <w:t>$ 7,80</w:t>
            </w:r>
          </w:p>
        </w:tc>
      </w:tr>
      <w:tr w:rsidR="003423AC" w:rsidRPr="003423AC" w:rsidTr="003423AC">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2</w:t>
            </w:r>
          </w:p>
        </w:tc>
        <w:tc>
          <w:tcPr>
            <w:tcW w:w="1419"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0,10%</w:t>
            </w:r>
          </w:p>
        </w:tc>
        <w:tc>
          <w:tcPr>
            <w:tcW w:w="1842"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b/>
                <w:bCs/>
                <w:color w:val="000000"/>
                <w:lang w:eastAsia="es-AR"/>
              </w:rPr>
            </w:pPr>
            <w:r w:rsidRPr="003423AC">
              <w:rPr>
                <w:rFonts w:eastAsia="Times New Roman"/>
                <w:b/>
                <w:bCs/>
                <w:color w:val="000000"/>
                <w:lang w:eastAsia="es-AR"/>
              </w:rPr>
              <w:t>$ 0,30</w:t>
            </w:r>
          </w:p>
        </w:tc>
        <w:tc>
          <w:tcPr>
            <w:tcW w:w="703"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10</w:t>
            </w:r>
          </w:p>
        </w:tc>
        <w:tc>
          <w:tcPr>
            <w:tcW w:w="1424"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2,70%</w:t>
            </w:r>
          </w:p>
        </w:tc>
        <w:tc>
          <w:tcPr>
            <w:tcW w:w="1776"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b/>
                <w:bCs/>
                <w:color w:val="000000"/>
                <w:lang w:eastAsia="es-AR"/>
              </w:rPr>
            </w:pPr>
            <w:r w:rsidRPr="003423AC">
              <w:rPr>
                <w:rFonts w:eastAsia="Times New Roman"/>
                <w:b/>
                <w:bCs/>
                <w:color w:val="000000"/>
                <w:lang w:eastAsia="es-AR"/>
              </w:rPr>
              <w:t>$ 8,10</w:t>
            </w:r>
          </w:p>
        </w:tc>
      </w:tr>
      <w:tr w:rsidR="003423AC" w:rsidRPr="003423AC" w:rsidTr="003423AC">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3</w:t>
            </w:r>
          </w:p>
        </w:tc>
        <w:tc>
          <w:tcPr>
            <w:tcW w:w="1419"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0,20%</w:t>
            </w:r>
          </w:p>
        </w:tc>
        <w:tc>
          <w:tcPr>
            <w:tcW w:w="1842"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b/>
                <w:bCs/>
                <w:color w:val="000000"/>
                <w:lang w:eastAsia="es-AR"/>
              </w:rPr>
            </w:pPr>
            <w:r w:rsidRPr="003423AC">
              <w:rPr>
                <w:rFonts w:eastAsia="Times New Roman"/>
                <w:b/>
                <w:bCs/>
                <w:color w:val="000000"/>
                <w:lang w:eastAsia="es-AR"/>
              </w:rPr>
              <w:t>$ 0,60</w:t>
            </w:r>
          </w:p>
        </w:tc>
        <w:tc>
          <w:tcPr>
            <w:tcW w:w="703"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11</w:t>
            </w:r>
          </w:p>
        </w:tc>
        <w:tc>
          <w:tcPr>
            <w:tcW w:w="1424"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3,00%</w:t>
            </w:r>
          </w:p>
        </w:tc>
        <w:tc>
          <w:tcPr>
            <w:tcW w:w="1776"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b/>
                <w:bCs/>
                <w:color w:val="000000"/>
                <w:lang w:eastAsia="es-AR"/>
              </w:rPr>
            </w:pPr>
            <w:r w:rsidRPr="003423AC">
              <w:rPr>
                <w:rFonts w:eastAsia="Times New Roman"/>
                <w:b/>
                <w:bCs/>
                <w:color w:val="000000"/>
                <w:lang w:eastAsia="es-AR"/>
              </w:rPr>
              <w:t>$ 9,00</w:t>
            </w:r>
          </w:p>
        </w:tc>
      </w:tr>
      <w:tr w:rsidR="003423AC" w:rsidRPr="003423AC" w:rsidTr="003423AC">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4</w:t>
            </w:r>
          </w:p>
        </w:tc>
        <w:tc>
          <w:tcPr>
            <w:tcW w:w="1419"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0,30%</w:t>
            </w:r>
          </w:p>
        </w:tc>
        <w:tc>
          <w:tcPr>
            <w:tcW w:w="1842"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b/>
                <w:bCs/>
                <w:color w:val="000000"/>
                <w:lang w:eastAsia="es-AR"/>
              </w:rPr>
            </w:pPr>
            <w:r w:rsidRPr="003423AC">
              <w:rPr>
                <w:rFonts w:eastAsia="Times New Roman"/>
                <w:b/>
                <w:bCs/>
                <w:color w:val="000000"/>
                <w:lang w:eastAsia="es-AR"/>
              </w:rPr>
              <w:t>$ 0,90</w:t>
            </w:r>
          </w:p>
        </w:tc>
        <w:tc>
          <w:tcPr>
            <w:tcW w:w="703"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12</w:t>
            </w:r>
          </w:p>
        </w:tc>
        <w:tc>
          <w:tcPr>
            <w:tcW w:w="1424"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3,20%</w:t>
            </w:r>
          </w:p>
        </w:tc>
        <w:tc>
          <w:tcPr>
            <w:tcW w:w="1776"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b/>
                <w:bCs/>
                <w:color w:val="000000"/>
                <w:lang w:eastAsia="es-AR"/>
              </w:rPr>
            </w:pPr>
            <w:r w:rsidRPr="003423AC">
              <w:rPr>
                <w:rFonts w:eastAsia="Times New Roman"/>
                <w:b/>
                <w:bCs/>
                <w:color w:val="000000"/>
                <w:lang w:eastAsia="es-AR"/>
              </w:rPr>
              <w:t>$ 9,60</w:t>
            </w:r>
          </w:p>
        </w:tc>
      </w:tr>
      <w:tr w:rsidR="003423AC" w:rsidRPr="003423AC" w:rsidTr="003423AC">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5</w:t>
            </w:r>
          </w:p>
        </w:tc>
        <w:tc>
          <w:tcPr>
            <w:tcW w:w="1419"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0,50%</w:t>
            </w:r>
          </w:p>
        </w:tc>
        <w:tc>
          <w:tcPr>
            <w:tcW w:w="1842"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b/>
                <w:bCs/>
                <w:color w:val="000000"/>
                <w:lang w:eastAsia="es-AR"/>
              </w:rPr>
            </w:pPr>
            <w:r w:rsidRPr="003423AC">
              <w:rPr>
                <w:rFonts w:eastAsia="Times New Roman"/>
                <w:b/>
                <w:bCs/>
                <w:color w:val="000000"/>
                <w:lang w:eastAsia="es-AR"/>
              </w:rPr>
              <w:t>$ 1,50</w:t>
            </w:r>
          </w:p>
        </w:tc>
        <w:tc>
          <w:tcPr>
            <w:tcW w:w="703"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13</w:t>
            </w:r>
          </w:p>
        </w:tc>
        <w:tc>
          <w:tcPr>
            <w:tcW w:w="1424"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3,50%</w:t>
            </w:r>
          </w:p>
        </w:tc>
        <w:tc>
          <w:tcPr>
            <w:tcW w:w="1776"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b/>
                <w:bCs/>
                <w:color w:val="000000"/>
                <w:lang w:eastAsia="es-AR"/>
              </w:rPr>
            </w:pPr>
            <w:r w:rsidRPr="003423AC">
              <w:rPr>
                <w:rFonts w:eastAsia="Times New Roman"/>
                <w:b/>
                <w:bCs/>
                <w:color w:val="000000"/>
                <w:lang w:eastAsia="es-AR"/>
              </w:rPr>
              <w:t>$ 10,50</w:t>
            </w:r>
          </w:p>
        </w:tc>
      </w:tr>
      <w:tr w:rsidR="003423AC" w:rsidRPr="003423AC" w:rsidTr="003423AC">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6</w:t>
            </w:r>
          </w:p>
        </w:tc>
        <w:tc>
          <w:tcPr>
            <w:tcW w:w="1419"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1,00%</w:t>
            </w:r>
          </w:p>
        </w:tc>
        <w:tc>
          <w:tcPr>
            <w:tcW w:w="1842"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b/>
                <w:bCs/>
                <w:color w:val="000000"/>
                <w:lang w:eastAsia="es-AR"/>
              </w:rPr>
            </w:pPr>
            <w:r w:rsidRPr="003423AC">
              <w:rPr>
                <w:rFonts w:eastAsia="Times New Roman"/>
                <w:b/>
                <w:bCs/>
                <w:color w:val="000000"/>
                <w:lang w:eastAsia="es-AR"/>
              </w:rPr>
              <w:t>$ 3,00</w:t>
            </w:r>
          </w:p>
        </w:tc>
        <w:tc>
          <w:tcPr>
            <w:tcW w:w="703"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14</w:t>
            </w:r>
          </w:p>
        </w:tc>
        <w:tc>
          <w:tcPr>
            <w:tcW w:w="1424"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4,00%</w:t>
            </w:r>
          </w:p>
        </w:tc>
        <w:tc>
          <w:tcPr>
            <w:tcW w:w="1776"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b/>
                <w:bCs/>
                <w:color w:val="000000"/>
                <w:lang w:eastAsia="es-AR"/>
              </w:rPr>
            </w:pPr>
            <w:r w:rsidRPr="003423AC">
              <w:rPr>
                <w:rFonts w:eastAsia="Times New Roman"/>
                <w:b/>
                <w:bCs/>
                <w:color w:val="000000"/>
                <w:lang w:eastAsia="es-AR"/>
              </w:rPr>
              <w:t>$ 12,00</w:t>
            </w:r>
          </w:p>
        </w:tc>
      </w:tr>
      <w:tr w:rsidR="003423AC" w:rsidRPr="003423AC" w:rsidTr="003423AC">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7</w:t>
            </w:r>
          </w:p>
        </w:tc>
        <w:tc>
          <w:tcPr>
            <w:tcW w:w="1419"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1,50%</w:t>
            </w:r>
          </w:p>
        </w:tc>
        <w:tc>
          <w:tcPr>
            <w:tcW w:w="1842"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b/>
                <w:bCs/>
                <w:color w:val="000000"/>
                <w:lang w:eastAsia="es-AR"/>
              </w:rPr>
            </w:pPr>
            <w:r w:rsidRPr="003423AC">
              <w:rPr>
                <w:rFonts w:eastAsia="Times New Roman"/>
                <w:b/>
                <w:bCs/>
                <w:color w:val="000000"/>
                <w:lang w:eastAsia="es-AR"/>
              </w:rPr>
              <w:t>$ 4,50</w:t>
            </w:r>
          </w:p>
        </w:tc>
        <w:tc>
          <w:tcPr>
            <w:tcW w:w="703"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15</w:t>
            </w:r>
          </w:p>
        </w:tc>
        <w:tc>
          <w:tcPr>
            <w:tcW w:w="1424"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5,00%</w:t>
            </w:r>
          </w:p>
        </w:tc>
        <w:tc>
          <w:tcPr>
            <w:tcW w:w="1776"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b/>
                <w:bCs/>
                <w:color w:val="000000"/>
                <w:lang w:eastAsia="es-AR"/>
              </w:rPr>
            </w:pPr>
            <w:r w:rsidRPr="003423AC">
              <w:rPr>
                <w:rFonts w:eastAsia="Times New Roman"/>
                <w:b/>
                <w:bCs/>
                <w:color w:val="000000"/>
                <w:lang w:eastAsia="es-AR"/>
              </w:rPr>
              <w:t>$ 15,00</w:t>
            </w:r>
          </w:p>
        </w:tc>
      </w:tr>
      <w:tr w:rsidR="003423AC" w:rsidRPr="003423AC" w:rsidTr="003423AC">
        <w:trPr>
          <w:trHeight w:val="30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8</w:t>
            </w:r>
          </w:p>
        </w:tc>
        <w:tc>
          <w:tcPr>
            <w:tcW w:w="1419"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2,50%</w:t>
            </w:r>
          </w:p>
        </w:tc>
        <w:tc>
          <w:tcPr>
            <w:tcW w:w="1842"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b/>
                <w:bCs/>
                <w:color w:val="000000"/>
                <w:lang w:eastAsia="es-AR"/>
              </w:rPr>
            </w:pPr>
            <w:r w:rsidRPr="003423AC">
              <w:rPr>
                <w:rFonts w:eastAsia="Times New Roman"/>
                <w:b/>
                <w:bCs/>
                <w:color w:val="000000"/>
                <w:lang w:eastAsia="es-AR"/>
              </w:rPr>
              <w:t>$ 7,50</w:t>
            </w:r>
          </w:p>
        </w:tc>
        <w:tc>
          <w:tcPr>
            <w:tcW w:w="703"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16</w:t>
            </w:r>
          </w:p>
        </w:tc>
        <w:tc>
          <w:tcPr>
            <w:tcW w:w="1424"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color w:val="000000"/>
                <w:lang w:eastAsia="es-AR"/>
              </w:rPr>
            </w:pPr>
            <w:r w:rsidRPr="003423AC">
              <w:rPr>
                <w:rFonts w:eastAsia="Times New Roman"/>
                <w:color w:val="000000"/>
                <w:lang w:eastAsia="es-AR"/>
              </w:rPr>
              <w:t>6,00%</w:t>
            </w:r>
          </w:p>
        </w:tc>
        <w:tc>
          <w:tcPr>
            <w:tcW w:w="1776" w:type="dxa"/>
            <w:tcBorders>
              <w:top w:val="nil"/>
              <w:left w:val="nil"/>
              <w:bottom w:val="single" w:sz="4" w:space="0" w:color="auto"/>
              <w:right w:val="single" w:sz="4" w:space="0" w:color="auto"/>
            </w:tcBorders>
            <w:shd w:val="clear" w:color="auto" w:fill="auto"/>
            <w:noWrap/>
            <w:vAlign w:val="bottom"/>
            <w:hideMark/>
          </w:tcPr>
          <w:p w:rsidR="003423AC" w:rsidRPr="003423AC" w:rsidRDefault="003423AC" w:rsidP="003423AC">
            <w:pPr>
              <w:spacing w:after="0" w:line="240" w:lineRule="auto"/>
              <w:jc w:val="center"/>
              <w:rPr>
                <w:rFonts w:eastAsia="Times New Roman"/>
                <w:b/>
                <w:bCs/>
                <w:color w:val="000000"/>
                <w:lang w:eastAsia="es-AR"/>
              </w:rPr>
            </w:pPr>
            <w:r w:rsidRPr="003423AC">
              <w:rPr>
                <w:rFonts w:eastAsia="Times New Roman"/>
                <w:b/>
                <w:bCs/>
                <w:color w:val="000000"/>
                <w:lang w:eastAsia="es-AR"/>
              </w:rPr>
              <w:t>$ 18,00</w:t>
            </w:r>
          </w:p>
        </w:tc>
      </w:tr>
    </w:tbl>
    <w:p w:rsidR="00864245" w:rsidRPr="00864245" w:rsidRDefault="00864245" w:rsidP="00000B39">
      <w:pPr>
        <w:rPr>
          <w:i/>
          <w:sz w:val="16"/>
          <w:szCs w:val="16"/>
          <w:u w:val="single"/>
        </w:rPr>
      </w:pPr>
      <w:r w:rsidRPr="00864245">
        <w:rPr>
          <w:i/>
          <w:sz w:val="16"/>
          <w:szCs w:val="16"/>
          <w:u w:val="single"/>
        </w:rPr>
        <w:t>Según la alícuota, debemos colocar el valor de la columna “</w:t>
      </w:r>
      <w:r w:rsidR="006276CF">
        <w:rPr>
          <w:i/>
          <w:sz w:val="16"/>
          <w:szCs w:val="16"/>
          <w:u w:val="single"/>
        </w:rPr>
        <w:t xml:space="preserve">Importe </w:t>
      </w:r>
      <w:r>
        <w:rPr>
          <w:i/>
          <w:sz w:val="16"/>
          <w:szCs w:val="16"/>
          <w:u w:val="single"/>
        </w:rPr>
        <w:t>Mí</w:t>
      </w:r>
      <w:r w:rsidRPr="00864245">
        <w:rPr>
          <w:i/>
          <w:sz w:val="16"/>
          <w:szCs w:val="16"/>
          <w:u w:val="single"/>
        </w:rPr>
        <w:t>nimo” en el campo “</w:t>
      </w:r>
      <w:r>
        <w:rPr>
          <w:i/>
          <w:sz w:val="16"/>
          <w:szCs w:val="16"/>
          <w:u w:val="single"/>
        </w:rPr>
        <w:t>Mí</w:t>
      </w:r>
      <w:r w:rsidRPr="00864245">
        <w:rPr>
          <w:i/>
          <w:sz w:val="16"/>
          <w:szCs w:val="16"/>
          <w:u w:val="single"/>
        </w:rPr>
        <w:t>nimo de Percepción”</w:t>
      </w:r>
      <w:r>
        <w:rPr>
          <w:i/>
          <w:sz w:val="16"/>
          <w:szCs w:val="16"/>
          <w:u w:val="single"/>
        </w:rPr>
        <w:t xml:space="preserve"> del ABM de Percepciones</w:t>
      </w:r>
    </w:p>
    <w:p w:rsidR="0026619B" w:rsidRDefault="0026619B" w:rsidP="0026619B">
      <w:pPr>
        <w:rPr>
          <w:noProof/>
          <w:lang w:eastAsia="es-AR"/>
        </w:rPr>
      </w:pPr>
      <w:r>
        <w:rPr>
          <w:noProof/>
          <w:lang w:eastAsia="es-AR"/>
        </w:rPr>
        <w:lastRenderedPageBreak/>
        <w:t xml:space="preserve">Ademas, en el Articulo 16 de la resolucion </w:t>
      </w:r>
      <w:r>
        <w:t>421/16</w:t>
      </w:r>
      <w:r>
        <w:rPr>
          <w:noProof/>
          <w:lang w:eastAsia="es-AR"/>
        </w:rPr>
        <w:t>, indica que si un contribuyente, no se encuentra en el padrón,  y la operación se realiza dentro de la jurisdiccion de AGIP se debe aplicar la alicuota maxima. Para ello debemos configurar una alicuota extra la cual debe tener el “Grupo 0” cuyo porcentaje es del 6% actualmente.</w:t>
      </w:r>
      <w:r w:rsidR="0097382F">
        <w:rPr>
          <w:noProof/>
          <w:lang w:eastAsia="es-AR"/>
        </w:rPr>
        <w:t xml:space="preserve"> Por lo tanto, en total debemos dar de alta 17 codigos de Percepción.</w:t>
      </w:r>
    </w:p>
    <w:p w:rsidR="0026619B" w:rsidRDefault="0026619B" w:rsidP="0026619B">
      <w:pPr>
        <w:rPr>
          <w:b/>
          <w:noProof/>
          <w:color w:val="C45911" w:themeColor="accent2" w:themeShade="BF"/>
          <w:lang w:eastAsia="es-AR"/>
        </w:rPr>
      </w:pPr>
      <w:r>
        <w:rPr>
          <w:b/>
          <w:noProof/>
          <w:color w:val="C45911" w:themeColor="accent2" w:themeShade="BF"/>
          <w:lang w:eastAsia="es-AR"/>
        </w:rPr>
        <w:drawing>
          <wp:inline distT="0" distB="0" distL="0" distR="0" wp14:anchorId="34274ABA" wp14:editId="626A9005">
            <wp:extent cx="5852160" cy="502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2160" cy="5029200"/>
                    </a:xfrm>
                    <a:prstGeom prst="rect">
                      <a:avLst/>
                    </a:prstGeom>
                    <a:noFill/>
                    <a:ln>
                      <a:noFill/>
                    </a:ln>
                  </pic:spPr>
                </pic:pic>
              </a:graphicData>
            </a:graphic>
          </wp:inline>
        </w:drawing>
      </w:r>
    </w:p>
    <w:p w:rsidR="0026619B" w:rsidRDefault="0026619B" w:rsidP="0026619B">
      <w:pPr>
        <w:rPr>
          <w:b/>
          <w:noProof/>
          <w:color w:val="FF0000"/>
          <w:lang w:eastAsia="es-AR"/>
        </w:rPr>
      </w:pPr>
      <w:r w:rsidRPr="00ED01B9">
        <w:rPr>
          <w:b/>
          <w:noProof/>
          <w:color w:val="FF0000"/>
          <w:lang w:eastAsia="es-AR"/>
        </w:rPr>
        <w:t>1-. M</w:t>
      </w:r>
      <w:r>
        <w:rPr>
          <w:b/>
          <w:noProof/>
          <w:color w:val="FF0000"/>
          <w:lang w:eastAsia="es-AR"/>
        </w:rPr>
        <w:t>í</w:t>
      </w:r>
      <w:r w:rsidRPr="00ED01B9">
        <w:rPr>
          <w:b/>
          <w:noProof/>
          <w:color w:val="FF0000"/>
          <w:lang w:eastAsia="es-AR"/>
        </w:rPr>
        <w:t>nimo de Percepci</w:t>
      </w:r>
      <w:r>
        <w:rPr>
          <w:b/>
          <w:noProof/>
          <w:color w:val="FF0000"/>
          <w:lang w:eastAsia="es-AR"/>
        </w:rPr>
        <w:t>ó</w:t>
      </w:r>
      <w:r w:rsidRPr="00ED01B9">
        <w:rPr>
          <w:b/>
          <w:noProof/>
          <w:color w:val="FF0000"/>
          <w:lang w:eastAsia="es-AR"/>
        </w:rPr>
        <w:t>n</w:t>
      </w:r>
    </w:p>
    <w:p w:rsidR="0026619B" w:rsidRDefault="0026619B" w:rsidP="0026619B">
      <w:pPr>
        <w:rPr>
          <w:b/>
          <w:noProof/>
          <w:color w:val="5B9BD5" w:themeColor="accent1"/>
          <w:lang w:eastAsia="es-AR"/>
        </w:rPr>
      </w:pPr>
      <w:r>
        <w:rPr>
          <w:b/>
          <w:noProof/>
          <w:color w:val="5B9BD5" w:themeColor="accent1"/>
          <w:lang w:eastAsia="es-AR"/>
        </w:rPr>
        <w:t>2.- Clasificació</w:t>
      </w:r>
      <w:r w:rsidRPr="00ED01B9">
        <w:rPr>
          <w:b/>
          <w:noProof/>
          <w:color w:val="5B9BD5" w:themeColor="accent1"/>
          <w:lang w:eastAsia="es-AR"/>
        </w:rPr>
        <w:t>n de P</w:t>
      </w:r>
      <w:r>
        <w:rPr>
          <w:b/>
          <w:noProof/>
          <w:color w:val="5B9BD5" w:themeColor="accent1"/>
          <w:lang w:eastAsia="es-AR"/>
        </w:rPr>
        <w:t>ercepció</w:t>
      </w:r>
      <w:r w:rsidRPr="00ED01B9">
        <w:rPr>
          <w:b/>
          <w:noProof/>
          <w:color w:val="5B9BD5" w:themeColor="accent1"/>
          <w:lang w:eastAsia="es-AR"/>
        </w:rPr>
        <w:t>n</w:t>
      </w:r>
    </w:p>
    <w:p w:rsidR="0026619B" w:rsidRDefault="0026619B" w:rsidP="0026619B">
      <w:pPr>
        <w:rPr>
          <w:b/>
          <w:noProof/>
          <w:color w:val="70AD47" w:themeColor="accent6"/>
          <w:lang w:eastAsia="es-AR"/>
        </w:rPr>
      </w:pPr>
      <w:r>
        <w:rPr>
          <w:b/>
          <w:noProof/>
          <w:color w:val="70AD47" w:themeColor="accent6"/>
          <w:lang w:eastAsia="es-AR"/>
        </w:rPr>
        <w:t>3.- Porcentaje de la alí</w:t>
      </w:r>
      <w:r w:rsidRPr="00ED01B9">
        <w:rPr>
          <w:b/>
          <w:noProof/>
          <w:color w:val="70AD47" w:themeColor="accent6"/>
          <w:lang w:eastAsia="es-AR"/>
        </w:rPr>
        <w:t>cuota</w:t>
      </w:r>
    </w:p>
    <w:p w:rsidR="0026619B" w:rsidRDefault="0026619B" w:rsidP="0026619B">
      <w:pPr>
        <w:rPr>
          <w:b/>
          <w:noProof/>
          <w:color w:val="C45911" w:themeColor="accent2" w:themeShade="BF"/>
          <w:lang w:eastAsia="es-AR"/>
        </w:rPr>
      </w:pPr>
      <w:r>
        <w:rPr>
          <w:b/>
          <w:noProof/>
          <w:color w:val="C45911" w:themeColor="accent2" w:themeShade="BF"/>
          <w:lang w:eastAsia="es-AR"/>
        </w:rPr>
        <w:t>4.- Grupo AGIP Ré</w:t>
      </w:r>
      <w:r w:rsidRPr="00ED01B9">
        <w:rPr>
          <w:b/>
          <w:noProof/>
          <w:color w:val="C45911" w:themeColor="accent2" w:themeShade="BF"/>
          <w:lang w:eastAsia="es-AR"/>
        </w:rPr>
        <w:t>gimen General</w:t>
      </w:r>
      <w:r>
        <w:rPr>
          <w:b/>
          <w:noProof/>
          <w:color w:val="C45911" w:themeColor="accent2" w:themeShade="BF"/>
          <w:lang w:eastAsia="es-AR"/>
        </w:rPr>
        <w:br/>
      </w:r>
    </w:p>
    <w:p w:rsidR="0097382F" w:rsidRDefault="0097382F" w:rsidP="0026619B">
      <w:pPr>
        <w:rPr>
          <w:b/>
          <w:noProof/>
          <w:color w:val="C45911" w:themeColor="accent2" w:themeShade="BF"/>
          <w:lang w:eastAsia="es-AR"/>
        </w:rPr>
      </w:pPr>
    </w:p>
    <w:p w:rsidR="0097382F" w:rsidRPr="00C0038B" w:rsidRDefault="0097382F" w:rsidP="0026619B">
      <w:pPr>
        <w:rPr>
          <w:b/>
          <w:noProof/>
          <w:color w:val="C45911" w:themeColor="accent2" w:themeShade="BF"/>
          <w:lang w:eastAsia="es-AR"/>
        </w:rPr>
      </w:pPr>
    </w:p>
    <w:p w:rsidR="0026619B" w:rsidRPr="0026619B" w:rsidRDefault="0026619B" w:rsidP="00000B39">
      <w:pPr>
        <w:rPr>
          <w:b/>
          <w:i/>
        </w:rPr>
      </w:pPr>
      <w:r w:rsidRPr="0026619B">
        <w:rPr>
          <w:b/>
          <w:i/>
        </w:rPr>
        <w:lastRenderedPageBreak/>
        <w:t>3. Actualización de clientes</w:t>
      </w:r>
    </w:p>
    <w:p w:rsidR="008F0CBB" w:rsidRDefault="008F0CBB" w:rsidP="00000B39">
      <w:pPr>
        <w:rPr>
          <w:noProof/>
          <w:lang w:eastAsia="es-AR"/>
        </w:rPr>
      </w:pPr>
      <w:r>
        <w:rPr>
          <w:noProof/>
          <w:lang w:eastAsia="es-AR"/>
        </w:rPr>
        <w:t xml:space="preserve">Luego, </w:t>
      </w:r>
      <w:r w:rsidR="00001957">
        <w:rPr>
          <w:noProof/>
          <w:lang w:eastAsia="es-AR"/>
        </w:rPr>
        <w:t>relacionamos a cada cliente con la clasificación  que le corresponda</w:t>
      </w:r>
      <w:r>
        <w:rPr>
          <w:noProof/>
          <w:lang w:eastAsia="es-AR"/>
        </w:rPr>
        <w:t>.</w:t>
      </w:r>
      <w:r w:rsidR="0026619B">
        <w:rPr>
          <w:noProof/>
          <w:lang w:eastAsia="es-AR"/>
        </w:rPr>
        <w:t xml:space="preserve"> Se puede </w:t>
      </w:r>
      <w:r w:rsidR="00FA72B2">
        <w:rPr>
          <w:noProof/>
          <w:lang w:eastAsia="es-AR"/>
        </w:rPr>
        <w:t xml:space="preserve">clasificar </w:t>
      </w:r>
      <w:r w:rsidR="0026619B">
        <w:rPr>
          <w:noProof/>
          <w:lang w:eastAsia="es-AR"/>
        </w:rPr>
        <w:t>en forma individual o bien utilizando el proceso de Actualización masiva de clientes.</w:t>
      </w:r>
    </w:p>
    <w:p w:rsidR="003423AC" w:rsidRDefault="00C0038B" w:rsidP="00000B39">
      <w:pPr>
        <w:rPr>
          <w:noProof/>
          <w:lang w:eastAsia="es-AR"/>
        </w:rPr>
      </w:pPr>
      <w:r>
        <w:rPr>
          <w:noProof/>
          <w:lang w:eastAsia="es-AR"/>
        </w:rPr>
        <w:drawing>
          <wp:inline distT="0" distB="0" distL="0" distR="0">
            <wp:extent cx="5874385" cy="203581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4385" cy="2035810"/>
                    </a:xfrm>
                    <a:prstGeom prst="rect">
                      <a:avLst/>
                    </a:prstGeom>
                    <a:noFill/>
                    <a:ln>
                      <a:noFill/>
                    </a:ln>
                  </pic:spPr>
                </pic:pic>
              </a:graphicData>
            </a:graphic>
          </wp:inline>
        </w:drawing>
      </w:r>
    </w:p>
    <w:p w:rsidR="008F0CBB" w:rsidRDefault="00C0038B" w:rsidP="00000B39">
      <w:pPr>
        <w:rPr>
          <w:noProof/>
          <w:lang w:eastAsia="es-AR"/>
        </w:rPr>
      </w:pPr>
      <w:r>
        <w:rPr>
          <w:noProof/>
          <w:lang w:eastAsia="es-AR"/>
        </w:rPr>
        <w:drawing>
          <wp:inline distT="0" distB="0" distL="0" distR="0">
            <wp:extent cx="5883275" cy="209613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3275" cy="2096135"/>
                    </a:xfrm>
                    <a:prstGeom prst="rect">
                      <a:avLst/>
                    </a:prstGeom>
                    <a:noFill/>
                    <a:ln>
                      <a:noFill/>
                    </a:ln>
                  </pic:spPr>
                </pic:pic>
              </a:graphicData>
            </a:graphic>
          </wp:inline>
        </w:drawing>
      </w:r>
    </w:p>
    <w:p w:rsidR="00C0038B" w:rsidRPr="00645E97" w:rsidRDefault="00645E97" w:rsidP="00000B39">
      <w:pPr>
        <w:rPr>
          <w:noProof/>
          <w:lang w:eastAsia="es-AR"/>
        </w:rPr>
      </w:pPr>
      <w:r>
        <w:rPr>
          <w:noProof/>
          <w:lang w:eastAsia="es-AR"/>
        </w:rPr>
        <w:t>De esta manera podemos tener distintas bases de calculos, según el cliente.</w:t>
      </w:r>
    </w:p>
    <w:p w:rsidR="00C0038B" w:rsidRDefault="00C0038B" w:rsidP="00000B39">
      <w:pPr>
        <w:rPr>
          <w:b/>
          <w:i/>
          <w:noProof/>
          <w:lang w:eastAsia="es-AR"/>
        </w:rPr>
      </w:pPr>
      <w:r w:rsidRPr="00C0038B">
        <w:rPr>
          <w:b/>
          <w:i/>
          <w:noProof/>
          <w:lang w:eastAsia="es-AR"/>
        </w:rPr>
        <w:t>3.- Parametros de ventas</w:t>
      </w:r>
    </w:p>
    <w:p w:rsidR="00C0038B" w:rsidRDefault="00C0038B" w:rsidP="00000B39">
      <w:pPr>
        <w:rPr>
          <w:noProof/>
          <w:lang w:eastAsia="es-AR"/>
        </w:rPr>
      </w:pPr>
      <w:r>
        <w:rPr>
          <w:noProof/>
          <w:lang w:eastAsia="es-AR"/>
        </w:rPr>
        <w:t>Dentro de los parametros de ventas tenemos un campo nuevo dentro de la solapa “Impuestos”.</w:t>
      </w:r>
      <w:r>
        <w:rPr>
          <w:noProof/>
          <w:lang w:eastAsia="es-AR"/>
        </w:rPr>
        <w:br/>
        <w:t>El mismo es para que definamos que provincia representa “Capital Federal” en la base de datos.</w:t>
      </w:r>
    </w:p>
    <w:p w:rsidR="00C0038B" w:rsidRPr="00C0038B" w:rsidRDefault="00C0038B" w:rsidP="00000B39">
      <w:pPr>
        <w:rPr>
          <w:noProof/>
          <w:lang w:eastAsia="es-AR"/>
        </w:rPr>
      </w:pPr>
      <w:r>
        <w:rPr>
          <w:noProof/>
          <w:lang w:eastAsia="es-AR"/>
        </w:rPr>
        <w:drawing>
          <wp:inline distT="0" distB="0" distL="0" distR="0">
            <wp:extent cx="5883275" cy="53467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3275" cy="534670"/>
                    </a:xfrm>
                    <a:prstGeom prst="rect">
                      <a:avLst/>
                    </a:prstGeom>
                    <a:noFill/>
                    <a:ln>
                      <a:noFill/>
                    </a:ln>
                  </pic:spPr>
                </pic:pic>
              </a:graphicData>
            </a:graphic>
          </wp:inline>
        </w:drawing>
      </w:r>
    </w:p>
    <w:p w:rsidR="00C0038B" w:rsidRDefault="00C0038B" w:rsidP="00161A55">
      <w:pPr>
        <w:rPr>
          <w:b/>
          <w:i/>
          <w:noProof/>
          <w:lang w:eastAsia="es-AR"/>
        </w:rPr>
      </w:pPr>
    </w:p>
    <w:p w:rsidR="0097382F" w:rsidRDefault="0097382F" w:rsidP="00161A55">
      <w:pPr>
        <w:rPr>
          <w:b/>
          <w:i/>
          <w:noProof/>
          <w:lang w:eastAsia="es-AR"/>
        </w:rPr>
      </w:pPr>
    </w:p>
    <w:p w:rsidR="0097382F" w:rsidRDefault="0097382F" w:rsidP="00161A55">
      <w:pPr>
        <w:rPr>
          <w:b/>
          <w:i/>
          <w:noProof/>
          <w:lang w:eastAsia="es-AR"/>
        </w:rPr>
      </w:pPr>
    </w:p>
    <w:p w:rsidR="0097382F" w:rsidRDefault="0097382F" w:rsidP="00161A55">
      <w:pPr>
        <w:rPr>
          <w:b/>
          <w:i/>
          <w:noProof/>
          <w:lang w:eastAsia="es-AR"/>
        </w:rPr>
      </w:pPr>
    </w:p>
    <w:p w:rsidR="00ED01B9" w:rsidRDefault="00E76803" w:rsidP="00161A55">
      <w:pPr>
        <w:rPr>
          <w:b/>
          <w:i/>
        </w:rPr>
      </w:pPr>
      <w:r>
        <w:rPr>
          <w:b/>
          <w:i/>
        </w:rPr>
        <w:lastRenderedPageBreak/>
        <w:t>4</w:t>
      </w:r>
      <w:r w:rsidR="00ED01B9" w:rsidRPr="00ED01B9">
        <w:rPr>
          <w:b/>
          <w:i/>
        </w:rPr>
        <w:t xml:space="preserve">.- </w:t>
      </w:r>
      <w:r w:rsidR="001A2F72">
        <w:rPr>
          <w:b/>
          <w:i/>
        </w:rPr>
        <w:t>Configuració</w:t>
      </w:r>
      <w:r w:rsidR="00ED01B9">
        <w:rPr>
          <w:b/>
          <w:i/>
        </w:rPr>
        <w:t xml:space="preserve">n </w:t>
      </w:r>
      <w:r w:rsidR="00ED01B9" w:rsidRPr="00ED01B9">
        <w:rPr>
          <w:b/>
          <w:i/>
        </w:rPr>
        <w:t>de artículos</w:t>
      </w:r>
    </w:p>
    <w:p w:rsidR="00ED01B9" w:rsidRDefault="009C2576" w:rsidP="00161A55">
      <w:r>
        <w:t>Tanto e</w:t>
      </w:r>
      <w:r w:rsidR="001A2F72">
        <w:t xml:space="preserve">n </w:t>
      </w:r>
      <w:r>
        <w:t>los artí</w:t>
      </w:r>
      <w:r w:rsidR="001A2F72">
        <w:t xml:space="preserve">culos ya cargados y </w:t>
      </w:r>
      <w:r w:rsidR="00E76803">
        <w:t xml:space="preserve">como en los </w:t>
      </w:r>
      <w:r w:rsidR="001A2F72">
        <w:t>nuevos, colocar en la solapa “Impuestos”, dentro del apartado “Percepciones definibles” todas las percepciones, para cada clasificación. O sea, siendo 16 grupos</w:t>
      </w:r>
      <w:r w:rsidR="006C2EB8">
        <w:t>, más la alícuota del “grupo 0”</w:t>
      </w:r>
      <w:r w:rsidR="001A2F72">
        <w:t xml:space="preserve"> y 2 clasificaciones, debemos colocar 3</w:t>
      </w:r>
      <w:r w:rsidR="006C2EB8">
        <w:t>4</w:t>
      </w:r>
      <w:r w:rsidR="001A2F72">
        <w:t xml:space="preserve"> renglones.</w:t>
      </w:r>
    </w:p>
    <w:p w:rsidR="001A2F72" w:rsidRDefault="00C0038B" w:rsidP="00161A55">
      <w:r>
        <w:rPr>
          <w:noProof/>
          <w:lang w:eastAsia="es-AR"/>
        </w:rPr>
        <w:drawing>
          <wp:inline distT="0" distB="0" distL="0" distR="0">
            <wp:extent cx="5874385" cy="189801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4385" cy="1898015"/>
                    </a:xfrm>
                    <a:prstGeom prst="rect">
                      <a:avLst/>
                    </a:prstGeom>
                    <a:noFill/>
                    <a:ln>
                      <a:noFill/>
                    </a:ln>
                  </pic:spPr>
                </pic:pic>
              </a:graphicData>
            </a:graphic>
          </wp:inline>
        </w:drawing>
      </w:r>
    </w:p>
    <w:p w:rsidR="001A2F72" w:rsidRDefault="001A2F72" w:rsidP="00161A55"/>
    <w:p w:rsidR="006276CF" w:rsidRDefault="006276CF" w:rsidP="00161A55"/>
    <w:p w:rsidR="006276CF" w:rsidRDefault="006276CF" w:rsidP="00161A55"/>
    <w:p w:rsidR="006276CF" w:rsidRDefault="006276CF" w:rsidP="00161A55"/>
    <w:p w:rsidR="006276CF" w:rsidRDefault="006276CF" w:rsidP="00161A55"/>
    <w:p w:rsidR="006276CF" w:rsidRDefault="006276CF" w:rsidP="00161A55"/>
    <w:p w:rsidR="006276CF" w:rsidRDefault="006276CF" w:rsidP="00161A55"/>
    <w:p w:rsidR="006276CF" w:rsidRDefault="006276CF" w:rsidP="00161A55"/>
    <w:p w:rsidR="006276CF" w:rsidRDefault="006276CF" w:rsidP="00161A55"/>
    <w:p w:rsidR="006276CF" w:rsidRDefault="006276CF" w:rsidP="00161A55"/>
    <w:p w:rsidR="006276CF" w:rsidRDefault="006276CF" w:rsidP="00161A55"/>
    <w:p w:rsidR="006276CF" w:rsidRDefault="006276CF" w:rsidP="00161A55"/>
    <w:p w:rsidR="006276CF" w:rsidRDefault="006276CF" w:rsidP="00161A55"/>
    <w:p w:rsidR="0097382F" w:rsidRDefault="0097382F" w:rsidP="00161A55"/>
    <w:p w:rsidR="0097382F" w:rsidRDefault="0097382F" w:rsidP="00161A55"/>
    <w:p w:rsidR="006276CF" w:rsidRDefault="006276CF" w:rsidP="00161A55"/>
    <w:p w:rsidR="006276CF" w:rsidRDefault="006276CF" w:rsidP="00161A55">
      <w:pPr>
        <w:rPr>
          <w:b/>
          <w:u w:val="single"/>
        </w:rPr>
      </w:pPr>
      <w:r w:rsidRPr="006276CF">
        <w:rPr>
          <w:b/>
          <w:u w:val="single"/>
        </w:rPr>
        <w:lastRenderedPageBreak/>
        <w:t>COMPRAS</w:t>
      </w:r>
    </w:p>
    <w:p w:rsidR="006276CF" w:rsidRDefault="006276CF" w:rsidP="006276CF">
      <w:pPr>
        <w:rPr>
          <w:b/>
          <w:i/>
        </w:rPr>
      </w:pPr>
      <w:r w:rsidRPr="00A3195A">
        <w:rPr>
          <w:b/>
          <w:i/>
        </w:rPr>
        <w:t xml:space="preserve">1.- </w:t>
      </w:r>
      <w:r>
        <w:rPr>
          <w:b/>
          <w:i/>
        </w:rPr>
        <w:t>Alta de</w:t>
      </w:r>
      <w:r w:rsidR="00861CD1">
        <w:rPr>
          <w:b/>
          <w:i/>
        </w:rPr>
        <w:t xml:space="preserve"> las retencio</w:t>
      </w:r>
      <w:r>
        <w:rPr>
          <w:b/>
          <w:i/>
        </w:rPr>
        <w:t>n</w:t>
      </w:r>
      <w:r w:rsidR="00861CD1">
        <w:rPr>
          <w:b/>
          <w:i/>
        </w:rPr>
        <w:t>es</w:t>
      </w:r>
      <w:r>
        <w:rPr>
          <w:b/>
          <w:i/>
        </w:rPr>
        <w:t xml:space="preserve"> definible</w:t>
      </w:r>
      <w:r w:rsidR="00861CD1">
        <w:rPr>
          <w:b/>
          <w:i/>
        </w:rPr>
        <w:t>s</w:t>
      </w:r>
      <w:r>
        <w:rPr>
          <w:b/>
          <w:i/>
        </w:rPr>
        <w:t>.</w:t>
      </w:r>
    </w:p>
    <w:p w:rsidR="00FA72B2" w:rsidRDefault="00E76803" w:rsidP="006276CF">
      <w:r>
        <w:t xml:space="preserve">Se </w:t>
      </w:r>
      <w:r w:rsidR="006276CF">
        <w:t xml:space="preserve">debe configurar una </w:t>
      </w:r>
      <w:r w:rsidR="00861CD1">
        <w:t>retención</w:t>
      </w:r>
      <w:r w:rsidR="006276CF">
        <w:t xml:space="preserve"> por cada grupo ya que lleva una </w:t>
      </w:r>
      <w:r w:rsidR="00861CD1">
        <w:t>alícuota</w:t>
      </w:r>
      <w:r w:rsidR="006276CF">
        <w:t xml:space="preserve"> diferente independientemente del importe sobre el cual debemos retener.</w:t>
      </w:r>
      <w:r w:rsidR="006C2EB8">
        <w:t xml:space="preserve"> </w:t>
      </w:r>
      <w:r>
        <w:t xml:space="preserve"> Adicional a las establecidas en el padrón hay que definir una retención que corresponde al grupo “0” y con el porcentaje de 4.50%, que se establece en el articulo </w:t>
      </w:r>
      <w:r w:rsidR="006C2EB8">
        <w:t>artículo 12 de la RG</w:t>
      </w:r>
      <w:r>
        <w:t xml:space="preserve"> 421/16 para las operaciones que se realicen de</w:t>
      </w:r>
      <w:r w:rsidR="0097382F">
        <w:t>n</w:t>
      </w:r>
      <w:r>
        <w:t xml:space="preserve">tro de la jurisdicción de AGIP y que el </w:t>
      </w:r>
      <w:r w:rsidR="0097382F">
        <w:t>CUIT</w:t>
      </w:r>
      <w:r>
        <w:t xml:space="preserve"> del retenido no este contemplado en el padrón.</w:t>
      </w:r>
      <w:r w:rsidR="006276CF">
        <w:br/>
      </w:r>
      <w:r>
        <w:t xml:space="preserve">Las retenciones </w:t>
      </w:r>
      <w:r w:rsidR="006276CF">
        <w:t>tiene</w:t>
      </w:r>
      <w:r>
        <w:t>n</w:t>
      </w:r>
      <w:r w:rsidR="006276CF">
        <w:t xml:space="preserve"> una base </w:t>
      </w:r>
      <w:r w:rsidR="00861CD1">
        <w:t>mínima</w:t>
      </w:r>
      <w:r w:rsidR="006276CF">
        <w:t xml:space="preserve"> sujeta a </w:t>
      </w:r>
      <w:r w:rsidR="00861CD1">
        <w:t>retención</w:t>
      </w:r>
      <w:r w:rsidR="006276CF">
        <w:t xml:space="preserve">, </w:t>
      </w:r>
      <w:r>
        <w:t xml:space="preserve">cuyo </w:t>
      </w:r>
      <w:r w:rsidR="006276CF">
        <w:t>valor es $</w:t>
      </w:r>
      <w:r>
        <w:t xml:space="preserve"> </w:t>
      </w:r>
      <w:r w:rsidR="006276CF">
        <w:t>300.</w:t>
      </w:r>
      <w:r w:rsidR="006276CF">
        <w:br/>
        <w:t xml:space="preserve">Como </w:t>
      </w:r>
      <w:r w:rsidR="0071715C">
        <w:t xml:space="preserve">el sistema no posee el </w:t>
      </w:r>
      <w:r w:rsidR="006276CF">
        <w:t xml:space="preserve">campo de importe </w:t>
      </w:r>
      <w:r w:rsidR="00861CD1">
        <w:t>mínimo</w:t>
      </w:r>
      <w:r w:rsidR="006276CF">
        <w:t xml:space="preserve"> sujeto a </w:t>
      </w:r>
      <w:r w:rsidR="00861CD1">
        <w:t>retención</w:t>
      </w:r>
      <w:r w:rsidR="006276CF">
        <w:t>, debemos usar el campo “</w:t>
      </w:r>
      <w:r w:rsidR="00861CD1">
        <w:t>Mínimo</w:t>
      </w:r>
      <w:r w:rsidR="006276CF">
        <w:t xml:space="preserve"> de Rete” (el cual se refiere al </w:t>
      </w:r>
      <w:r w:rsidR="00861CD1">
        <w:t>mínimo</w:t>
      </w:r>
      <w:r w:rsidR="006276CF">
        <w:t xml:space="preserve"> de </w:t>
      </w:r>
      <w:r w:rsidR="00861CD1">
        <w:t>retención</w:t>
      </w:r>
      <w:r w:rsidR="006276CF">
        <w:t xml:space="preserve">) y debemos hacer el </w:t>
      </w:r>
      <w:r w:rsidR="00861CD1">
        <w:t>cálculo</w:t>
      </w:r>
      <w:r w:rsidR="006276CF">
        <w:t xml:space="preserve"> inverso de la misma manera que en ventas.</w:t>
      </w:r>
    </w:p>
    <w:p w:rsidR="006276CF" w:rsidRDefault="006276CF" w:rsidP="006276CF">
      <w:r w:rsidRPr="00AC7897">
        <w:t xml:space="preserve">MINIMO DE </w:t>
      </w:r>
      <w:r>
        <w:t>RETENCIÓN = MÍNIMA BASE DE CÁLCULO * (ALÍ</w:t>
      </w:r>
      <w:r w:rsidRPr="00AC7897">
        <w:t>CUOTA/100)</w:t>
      </w:r>
      <w:r>
        <w:br/>
        <w:t xml:space="preserve">En una alícuota del </w:t>
      </w:r>
      <w:r w:rsidR="00861CD1">
        <w:t>1.75</w:t>
      </w:r>
      <w:r>
        <w:t xml:space="preserve">% </w:t>
      </w:r>
      <w:r w:rsidRPr="00E510D8">
        <w:t>seria:</w:t>
      </w:r>
      <w:r>
        <w:t xml:space="preserve"> </w:t>
      </w:r>
      <w:r w:rsidRPr="00E510D8">
        <w:t xml:space="preserve">MINIMO DE </w:t>
      </w:r>
      <w:r>
        <w:t>RETENCIÓN</w:t>
      </w:r>
      <w:r w:rsidRPr="00E510D8">
        <w:t xml:space="preserve"> = </w:t>
      </w:r>
      <w:r>
        <w:t>$</w:t>
      </w:r>
      <w:r w:rsidRPr="00E510D8">
        <w:t>300</w:t>
      </w:r>
      <w:r>
        <w:t>*(</w:t>
      </w:r>
      <w:r w:rsidR="00861CD1">
        <w:t>1.75</w:t>
      </w:r>
      <w:r>
        <w:t>/</w:t>
      </w:r>
      <w:proofErr w:type="gramStart"/>
      <w:r>
        <w:t>100)=</w:t>
      </w:r>
      <w:proofErr w:type="gramEnd"/>
      <w:r>
        <w:t>$</w:t>
      </w:r>
      <w:r w:rsidR="00861CD1">
        <w:rPr>
          <w:b/>
          <w:sz w:val="24"/>
          <w:szCs w:val="24"/>
        </w:rPr>
        <w:t>5.25</w:t>
      </w:r>
    </w:p>
    <w:p w:rsidR="00861CD1" w:rsidRDefault="006276CF" w:rsidP="00161A55">
      <w:r>
        <w:rPr>
          <w:noProof/>
          <w:lang w:eastAsia="es-AR"/>
        </w:rPr>
        <w:drawing>
          <wp:inline distT="0" distB="0" distL="0" distR="0">
            <wp:extent cx="4873925" cy="4723771"/>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7064" cy="4726813"/>
                    </a:xfrm>
                    <a:prstGeom prst="rect">
                      <a:avLst/>
                    </a:prstGeom>
                    <a:noFill/>
                    <a:ln>
                      <a:noFill/>
                    </a:ln>
                  </pic:spPr>
                </pic:pic>
              </a:graphicData>
            </a:graphic>
          </wp:inline>
        </w:drawing>
      </w:r>
      <w:r w:rsidR="00861CD1">
        <w:br/>
      </w:r>
      <w:r w:rsidR="00861CD1" w:rsidRPr="00861CD1">
        <w:rPr>
          <w:b/>
          <w:u w:val="single"/>
        </w:rPr>
        <w:t>NOTA:</w:t>
      </w:r>
      <w:r w:rsidR="00861CD1">
        <w:t xml:space="preserve"> En caso de que tenga algún proveedor con una base de cálculo diferente, deberá dar de alta una nueva retención definible con la base de cálculo que corresponda.</w:t>
      </w:r>
    </w:p>
    <w:p w:rsidR="00861CD1" w:rsidRDefault="00861CD1" w:rsidP="00161A55">
      <w:r>
        <w:lastRenderedPageBreak/>
        <w:t>A continuación, les dejamos el cuadro de importe mínimo de retención por porcentaje</w:t>
      </w:r>
    </w:p>
    <w:tbl>
      <w:tblPr>
        <w:tblW w:w="7486" w:type="dxa"/>
        <w:tblCellMar>
          <w:left w:w="70" w:type="dxa"/>
          <w:right w:w="70" w:type="dxa"/>
        </w:tblCellMar>
        <w:tblLook w:val="04A0" w:firstRow="1" w:lastRow="0" w:firstColumn="1" w:lastColumn="0" w:noHBand="0" w:noVBand="1"/>
      </w:tblPr>
      <w:tblGrid>
        <w:gridCol w:w="703"/>
        <w:gridCol w:w="1120"/>
        <w:gridCol w:w="1920"/>
        <w:gridCol w:w="703"/>
        <w:gridCol w:w="1120"/>
        <w:gridCol w:w="1920"/>
      </w:tblGrid>
      <w:tr w:rsidR="00861CD1" w:rsidRPr="00861CD1" w:rsidTr="00861CD1">
        <w:trPr>
          <w:trHeight w:val="300"/>
        </w:trPr>
        <w:tc>
          <w:tcPr>
            <w:tcW w:w="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Grupo</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Porcentaje</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Importe Mínimo</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Grupo</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Porcentaje</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Importe Mínimo</w:t>
            </w:r>
          </w:p>
        </w:tc>
      </w:tr>
      <w:tr w:rsidR="00861CD1" w:rsidRPr="00861CD1" w:rsidTr="00861CD1">
        <w:trPr>
          <w:trHeight w:val="3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1</w:t>
            </w:r>
          </w:p>
        </w:tc>
        <w:tc>
          <w:tcPr>
            <w:tcW w:w="11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0,00%</w:t>
            </w:r>
          </w:p>
        </w:tc>
        <w:tc>
          <w:tcPr>
            <w:tcW w:w="19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b/>
                <w:bCs/>
                <w:color w:val="000000"/>
                <w:lang w:eastAsia="es-AR"/>
              </w:rPr>
            </w:pPr>
            <w:r w:rsidRPr="00861CD1">
              <w:rPr>
                <w:rFonts w:eastAsia="Times New Roman"/>
                <w:b/>
                <w:bCs/>
                <w:color w:val="000000"/>
                <w:lang w:eastAsia="es-AR"/>
              </w:rPr>
              <w:t>$ 0,00</w:t>
            </w:r>
          </w:p>
        </w:tc>
        <w:tc>
          <w:tcPr>
            <w:tcW w:w="703"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9</w:t>
            </w:r>
          </w:p>
        </w:tc>
        <w:tc>
          <w:tcPr>
            <w:tcW w:w="11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1,50%</w:t>
            </w:r>
          </w:p>
        </w:tc>
        <w:tc>
          <w:tcPr>
            <w:tcW w:w="19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b/>
                <w:bCs/>
                <w:color w:val="000000"/>
                <w:lang w:eastAsia="es-AR"/>
              </w:rPr>
            </w:pPr>
            <w:r w:rsidRPr="00861CD1">
              <w:rPr>
                <w:rFonts w:eastAsia="Times New Roman"/>
                <w:b/>
                <w:bCs/>
                <w:color w:val="000000"/>
                <w:lang w:eastAsia="es-AR"/>
              </w:rPr>
              <w:t>$ 4,50</w:t>
            </w:r>
          </w:p>
        </w:tc>
      </w:tr>
      <w:tr w:rsidR="00861CD1" w:rsidRPr="00861CD1" w:rsidTr="00861CD1">
        <w:trPr>
          <w:trHeight w:val="3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2</w:t>
            </w:r>
          </w:p>
        </w:tc>
        <w:tc>
          <w:tcPr>
            <w:tcW w:w="11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0,10%</w:t>
            </w:r>
          </w:p>
        </w:tc>
        <w:tc>
          <w:tcPr>
            <w:tcW w:w="19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b/>
                <w:bCs/>
                <w:color w:val="000000"/>
                <w:lang w:eastAsia="es-AR"/>
              </w:rPr>
            </w:pPr>
            <w:r w:rsidRPr="00861CD1">
              <w:rPr>
                <w:rFonts w:eastAsia="Times New Roman"/>
                <w:b/>
                <w:bCs/>
                <w:color w:val="000000"/>
                <w:lang w:eastAsia="es-AR"/>
              </w:rPr>
              <w:t>$ 0,30</w:t>
            </w:r>
          </w:p>
        </w:tc>
        <w:tc>
          <w:tcPr>
            <w:tcW w:w="703"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10</w:t>
            </w:r>
          </w:p>
        </w:tc>
        <w:tc>
          <w:tcPr>
            <w:tcW w:w="11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1,75%</w:t>
            </w:r>
          </w:p>
        </w:tc>
        <w:tc>
          <w:tcPr>
            <w:tcW w:w="19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b/>
                <w:bCs/>
                <w:color w:val="000000"/>
                <w:lang w:eastAsia="es-AR"/>
              </w:rPr>
            </w:pPr>
            <w:r w:rsidRPr="00861CD1">
              <w:rPr>
                <w:rFonts w:eastAsia="Times New Roman"/>
                <w:b/>
                <w:bCs/>
                <w:color w:val="000000"/>
                <w:lang w:eastAsia="es-AR"/>
              </w:rPr>
              <w:t>$ 5,25</w:t>
            </w:r>
          </w:p>
        </w:tc>
      </w:tr>
      <w:tr w:rsidR="00861CD1" w:rsidRPr="00861CD1" w:rsidTr="00861CD1">
        <w:trPr>
          <w:trHeight w:val="3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3</w:t>
            </w:r>
          </w:p>
        </w:tc>
        <w:tc>
          <w:tcPr>
            <w:tcW w:w="11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0,20%</w:t>
            </w:r>
          </w:p>
        </w:tc>
        <w:tc>
          <w:tcPr>
            <w:tcW w:w="19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b/>
                <w:bCs/>
                <w:color w:val="000000"/>
                <w:lang w:eastAsia="es-AR"/>
              </w:rPr>
            </w:pPr>
            <w:r w:rsidRPr="00861CD1">
              <w:rPr>
                <w:rFonts w:eastAsia="Times New Roman"/>
                <w:b/>
                <w:bCs/>
                <w:color w:val="000000"/>
                <w:lang w:eastAsia="es-AR"/>
              </w:rPr>
              <w:t>$ 0,60</w:t>
            </w:r>
          </w:p>
        </w:tc>
        <w:tc>
          <w:tcPr>
            <w:tcW w:w="703"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11</w:t>
            </w:r>
          </w:p>
        </w:tc>
        <w:tc>
          <w:tcPr>
            <w:tcW w:w="11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2,00%</w:t>
            </w:r>
          </w:p>
        </w:tc>
        <w:tc>
          <w:tcPr>
            <w:tcW w:w="19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b/>
                <w:bCs/>
                <w:color w:val="000000"/>
                <w:lang w:eastAsia="es-AR"/>
              </w:rPr>
            </w:pPr>
            <w:r w:rsidRPr="00861CD1">
              <w:rPr>
                <w:rFonts w:eastAsia="Times New Roman"/>
                <w:b/>
                <w:bCs/>
                <w:color w:val="000000"/>
                <w:lang w:eastAsia="es-AR"/>
              </w:rPr>
              <w:t>$ 6,00</w:t>
            </w:r>
          </w:p>
        </w:tc>
      </w:tr>
      <w:tr w:rsidR="00861CD1" w:rsidRPr="00861CD1" w:rsidTr="00861CD1">
        <w:trPr>
          <w:trHeight w:val="3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4</w:t>
            </w:r>
          </w:p>
        </w:tc>
        <w:tc>
          <w:tcPr>
            <w:tcW w:w="11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0,50%</w:t>
            </w:r>
          </w:p>
        </w:tc>
        <w:tc>
          <w:tcPr>
            <w:tcW w:w="19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b/>
                <w:bCs/>
                <w:color w:val="000000"/>
                <w:lang w:eastAsia="es-AR"/>
              </w:rPr>
            </w:pPr>
            <w:r w:rsidRPr="00861CD1">
              <w:rPr>
                <w:rFonts w:eastAsia="Times New Roman"/>
                <w:b/>
                <w:bCs/>
                <w:color w:val="000000"/>
                <w:lang w:eastAsia="es-AR"/>
              </w:rPr>
              <w:t>$ 1,50</w:t>
            </w:r>
          </w:p>
        </w:tc>
        <w:tc>
          <w:tcPr>
            <w:tcW w:w="703"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12</w:t>
            </w:r>
          </w:p>
        </w:tc>
        <w:tc>
          <w:tcPr>
            <w:tcW w:w="1120" w:type="dxa"/>
            <w:tcBorders>
              <w:top w:val="nil"/>
              <w:left w:val="nil"/>
              <w:bottom w:val="single" w:sz="4" w:space="0" w:color="auto"/>
              <w:right w:val="single" w:sz="4" w:space="0" w:color="auto"/>
            </w:tcBorders>
            <w:shd w:val="clear" w:color="auto" w:fill="auto"/>
            <w:noWrap/>
            <w:vAlign w:val="center"/>
            <w:hideMark/>
          </w:tcPr>
          <w:p w:rsidR="00861CD1" w:rsidRPr="00861CD1" w:rsidRDefault="003A68CF" w:rsidP="00861CD1">
            <w:pPr>
              <w:spacing w:after="0" w:line="240" w:lineRule="auto"/>
              <w:jc w:val="center"/>
              <w:rPr>
                <w:rFonts w:eastAsia="Times New Roman"/>
                <w:color w:val="000000"/>
                <w:lang w:eastAsia="es-AR"/>
              </w:rPr>
            </w:pPr>
            <w:r>
              <w:rPr>
                <w:rFonts w:eastAsia="Times New Roman"/>
                <w:color w:val="000000"/>
                <w:lang w:eastAsia="es-AR"/>
              </w:rPr>
              <w:t>2,50</w:t>
            </w:r>
            <w:r w:rsidR="00861CD1" w:rsidRPr="00861CD1">
              <w:rPr>
                <w:rFonts w:eastAsia="Times New Roman"/>
                <w:color w:val="000000"/>
                <w:lang w:eastAsia="es-AR"/>
              </w:rPr>
              <w:t>%</w:t>
            </w:r>
          </w:p>
        </w:tc>
        <w:tc>
          <w:tcPr>
            <w:tcW w:w="1920" w:type="dxa"/>
            <w:tcBorders>
              <w:top w:val="nil"/>
              <w:left w:val="nil"/>
              <w:bottom w:val="single" w:sz="4" w:space="0" w:color="auto"/>
              <w:right w:val="single" w:sz="4" w:space="0" w:color="auto"/>
            </w:tcBorders>
            <w:shd w:val="clear" w:color="auto" w:fill="auto"/>
            <w:noWrap/>
            <w:vAlign w:val="center"/>
            <w:hideMark/>
          </w:tcPr>
          <w:p w:rsidR="00861CD1" w:rsidRPr="00861CD1" w:rsidRDefault="003A68CF" w:rsidP="00861CD1">
            <w:pPr>
              <w:spacing w:after="0" w:line="240" w:lineRule="auto"/>
              <w:jc w:val="center"/>
              <w:rPr>
                <w:rFonts w:eastAsia="Times New Roman"/>
                <w:b/>
                <w:bCs/>
                <w:color w:val="000000"/>
                <w:lang w:eastAsia="es-AR"/>
              </w:rPr>
            </w:pPr>
            <w:r w:rsidRPr="00861CD1">
              <w:rPr>
                <w:rFonts w:eastAsia="Times New Roman"/>
                <w:b/>
                <w:bCs/>
                <w:color w:val="000000"/>
                <w:lang w:eastAsia="es-AR"/>
              </w:rPr>
              <w:t>$ 7,50</w:t>
            </w:r>
          </w:p>
        </w:tc>
      </w:tr>
      <w:tr w:rsidR="00861CD1" w:rsidRPr="00861CD1" w:rsidTr="00861CD1">
        <w:trPr>
          <w:trHeight w:val="3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5</w:t>
            </w:r>
          </w:p>
        </w:tc>
        <w:tc>
          <w:tcPr>
            <w:tcW w:w="11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0,75%</w:t>
            </w:r>
          </w:p>
        </w:tc>
        <w:tc>
          <w:tcPr>
            <w:tcW w:w="19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b/>
                <w:bCs/>
                <w:color w:val="000000"/>
                <w:lang w:eastAsia="es-AR"/>
              </w:rPr>
            </w:pPr>
            <w:r w:rsidRPr="00861CD1">
              <w:rPr>
                <w:rFonts w:eastAsia="Times New Roman"/>
                <w:b/>
                <w:bCs/>
                <w:color w:val="000000"/>
                <w:lang w:eastAsia="es-AR"/>
              </w:rPr>
              <w:t>$ 2,25</w:t>
            </w:r>
          </w:p>
        </w:tc>
        <w:tc>
          <w:tcPr>
            <w:tcW w:w="703"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13</w:t>
            </w:r>
          </w:p>
        </w:tc>
        <w:tc>
          <w:tcPr>
            <w:tcW w:w="1120" w:type="dxa"/>
            <w:tcBorders>
              <w:top w:val="nil"/>
              <w:left w:val="nil"/>
              <w:bottom w:val="single" w:sz="4" w:space="0" w:color="auto"/>
              <w:right w:val="single" w:sz="4" w:space="0" w:color="auto"/>
            </w:tcBorders>
            <w:shd w:val="clear" w:color="auto" w:fill="auto"/>
            <w:noWrap/>
            <w:vAlign w:val="center"/>
            <w:hideMark/>
          </w:tcPr>
          <w:p w:rsidR="00861CD1" w:rsidRPr="00861CD1" w:rsidRDefault="003A68CF" w:rsidP="00861CD1">
            <w:pPr>
              <w:spacing w:after="0" w:line="240" w:lineRule="auto"/>
              <w:jc w:val="center"/>
              <w:rPr>
                <w:rFonts w:eastAsia="Times New Roman"/>
                <w:color w:val="000000"/>
                <w:lang w:eastAsia="es-AR"/>
              </w:rPr>
            </w:pPr>
            <w:r w:rsidRPr="00861CD1">
              <w:rPr>
                <w:rFonts w:eastAsia="Times New Roman"/>
                <w:color w:val="000000"/>
                <w:lang w:eastAsia="es-AR"/>
              </w:rPr>
              <w:t>2,75%</w:t>
            </w:r>
          </w:p>
        </w:tc>
        <w:tc>
          <w:tcPr>
            <w:tcW w:w="1920" w:type="dxa"/>
            <w:tcBorders>
              <w:top w:val="nil"/>
              <w:left w:val="nil"/>
              <w:bottom w:val="single" w:sz="4" w:space="0" w:color="auto"/>
              <w:right w:val="single" w:sz="4" w:space="0" w:color="auto"/>
            </w:tcBorders>
            <w:shd w:val="clear" w:color="auto" w:fill="auto"/>
            <w:noWrap/>
            <w:vAlign w:val="center"/>
            <w:hideMark/>
          </w:tcPr>
          <w:p w:rsidR="00861CD1" w:rsidRPr="00861CD1" w:rsidRDefault="003A68CF" w:rsidP="00861CD1">
            <w:pPr>
              <w:spacing w:after="0" w:line="240" w:lineRule="auto"/>
              <w:jc w:val="center"/>
              <w:rPr>
                <w:rFonts w:eastAsia="Times New Roman"/>
                <w:b/>
                <w:bCs/>
                <w:color w:val="000000"/>
                <w:lang w:eastAsia="es-AR"/>
              </w:rPr>
            </w:pPr>
            <w:r w:rsidRPr="00861CD1">
              <w:rPr>
                <w:rFonts w:eastAsia="Times New Roman"/>
                <w:b/>
                <w:bCs/>
                <w:color w:val="000000"/>
                <w:lang w:eastAsia="es-AR"/>
              </w:rPr>
              <w:t>$ 8,25</w:t>
            </w:r>
          </w:p>
        </w:tc>
      </w:tr>
      <w:tr w:rsidR="00861CD1" w:rsidRPr="00861CD1" w:rsidTr="00861CD1">
        <w:trPr>
          <w:trHeight w:val="3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6</w:t>
            </w:r>
          </w:p>
        </w:tc>
        <w:tc>
          <w:tcPr>
            <w:tcW w:w="11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0,90%</w:t>
            </w:r>
          </w:p>
        </w:tc>
        <w:tc>
          <w:tcPr>
            <w:tcW w:w="19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b/>
                <w:bCs/>
                <w:color w:val="000000"/>
                <w:lang w:eastAsia="es-AR"/>
              </w:rPr>
            </w:pPr>
            <w:r w:rsidRPr="00861CD1">
              <w:rPr>
                <w:rFonts w:eastAsia="Times New Roman"/>
                <w:b/>
                <w:bCs/>
                <w:color w:val="000000"/>
                <w:lang w:eastAsia="es-AR"/>
              </w:rPr>
              <w:t>$ 2,70</w:t>
            </w:r>
          </w:p>
        </w:tc>
        <w:tc>
          <w:tcPr>
            <w:tcW w:w="703"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14</w:t>
            </w:r>
          </w:p>
        </w:tc>
        <w:tc>
          <w:tcPr>
            <w:tcW w:w="1120" w:type="dxa"/>
            <w:tcBorders>
              <w:top w:val="nil"/>
              <w:left w:val="nil"/>
              <w:bottom w:val="single" w:sz="4" w:space="0" w:color="auto"/>
              <w:right w:val="single" w:sz="4" w:space="0" w:color="auto"/>
            </w:tcBorders>
            <w:shd w:val="clear" w:color="auto" w:fill="auto"/>
            <w:noWrap/>
            <w:vAlign w:val="center"/>
            <w:hideMark/>
          </w:tcPr>
          <w:p w:rsidR="00861CD1" w:rsidRPr="00861CD1" w:rsidRDefault="003A68CF" w:rsidP="00861CD1">
            <w:pPr>
              <w:spacing w:after="0" w:line="240" w:lineRule="auto"/>
              <w:jc w:val="center"/>
              <w:rPr>
                <w:rFonts w:eastAsia="Times New Roman"/>
                <w:color w:val="000000"/>
                <w:lang w:eastAsia="es-AR"/>
              </w:rPr>
            </w:pPr>
            <w:r w:rsidRPr="00861CD1">
              <w:rPr>
                <w:rFonts w:eastAsia="Times New Roman"/>
                <w:color w:val="000000"/>
                <w:lang w:eastAsia="es-AR"/>
              </w:rPr>
              <w:t>3,00%</w:t>
            </w:r>
          </w:p>
        </w:tc>
        <w:tc>
          <w:tcPr>
            <w:tcW w:w="1920" w:type="dxa"/>
            <w:tcBorders>
              <w:top w:val="nil"/>
              <w:left w:val="nil"/>
              <w:bottom w:val="single" w:sz="4" w:space="0" w:color="auto"/>
              <w:right w:val="single" w:sz="4" w:space="0" w:color="auto"/>
            </w:tcBorders>
            <w:shd w:val="clear" w:color="auto" w:fill="auto"/>
            <w:noWrap/>
            <w:vAlign w:val="center"/>
            <w:hideMark/>
          </w:tcPr>
          <w:p w:rsidR="00861CD1" w:rsidRPr="00861CD1" w:rsidRDefault="003A68CF" w:rsidP="00861CD1">
            <w:pPr>
              <w:spacing w:after="0" w:line="240" w:lineRule="auto"/>
              <w:jc w:val="center"/>
              <w:rPr>
                <w:rFonts w:eastAsia="Times New Roman"/>
                <w:b/>
                <w:bCs/>
                <w:color w:val="000000"/>
                <w:lang w:eastAsia="es-AR"/>
              </w:rPr>
            </w:pPr>
            <w:r w:rsidRPr="00861CD1">
              <w:rPr>
                <w:rFonts w:eastAsia="Times New Roman"/>
                <w:b/>
                <w:bCs/>
                <w:color w:val="000000"/>
                <w:lang w:eastAsia="es-AR"/>
              </w:rPr>
              <w:t>$ 9,00</w:t>
            </w:r>
          </w:p>
        </w:tc>
      </w:tr>
      <w:tr w:rsidR="00861CD1" w:rsidRPr="00861CD1" w:rsidTr="00861CD1">
        <w:trPr>
          <w:trHeight w:val="3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7</w:t>
            </w:r>
          </w:p>
        </w:tc>
        <w:tc>
          <w:tcPr>
            <w:tcW w:w="11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1,00%</w:t>
            </w:r>
          </w:p>
        </w:tc>
        <w:tc>
          <w:tcPr>
            <w:tcW w:w="19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b/>
                <w:bCs/>
                <w:color w:val="000000"/>
                <w:lang w:eastAsia="es-AR"/>
              </w:rPr>
            </w:pPr>
            <w:r w:rsidRPr="00861CD1">
              <w:rPr>
                <w:rFonts w:eastAsia="Times New Roman"/>
                <w:b/>
                <w:bCs/>
                <w:color w:val="000000"/>
                <w:lang w:eastAsia="es-AR"/>
              </w:rPr>
              <w:t>$ 3,00</w:t>
            </w:r>
          </w:p>
        </w:tc>
        <w:tc>
          <w:tcPr>
            <w:tcW w:w="703"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15</w:t>
            </w:r>
          </w:p>
        </w:tc>
        <w:tc>
          <w:tcPr>
            <w:tcW w:w="1120" w:type="dxa"/>
            <w:tcBorders>
              <w:top w:val="nil"/>
              <w:left w:val="nil"/>
              <w:bottom w:val="single" w:sz="4" w:space="0" w:color="auto"/>
              <w:right w:val="single" w:sz="4" w:space="0" w:color="auto"/>
            </w:tcBorders>
            <w:shd w:val="clear" w:color="auto" w:fill="auto"/>
            <w:noWrap/>
            <w:vAlign w:val="center"/>
            <w:hideMark/>
          </w:tcPr>
          <w:p w:rsidR="00861CD1" w:rsidRPr="00861CD1" w:rsidRDefault="003A68CF" w:rsidP="00861CD1">
            <w:pPr>
              <w:spacing w:after="0" w:line="240" w:lineRule="auto"/>
              <w:jc w:val="center"/>
              <w:rPr>
                <w:rFonts w:eastAsia="Times New Roman"/>
                <w:color w:val="000000"/>
                <w:lang w:eastAsia="es-AR"/>
              </w:rPr>
            </w:pPr>
            <w:r w:rsidRPr="00861CD1">
              <w:rPr>
                <w:rFonts w:eastAsia="Times New Roman"/>
                <w:color w:val="000000"/>
                <w:lang w:eastAsia="es-AR"/>
              </w:rPr>
              <w:t>4,00%</w:t>
            </w:r>
          </w:p>
        </w:tc>
        <w:tc>
          <w:tcPr>
            <w:tcW w:w="1920" w:type="dxa"/>
            <w:tcBorders>
              <w:top w:val="nil"/>
              <w:left w:val="nil"/>
              <w:bottom w:val="single" w:sz="4" w:space="0" w:color="auto"/>
              <w:right w:val="single" w:sz="4" w:space="0" w:color="auto"/>
            </w:tcBorders>
            <w:shd w:val="clear" w:color="auto" w:fill="auto"/>
            <w:noWrap/>
            <w:vAlign w:val="center"/>
            <w:hideMark/>
          </w:tcPr>
          <w:p w:rsidR="00861CD1" w:rsidRPr="00861CD1" w:rsidRDefault="003A68CF" w:rsidP="00861CD1">
            <w:pPr>
              <w:spacing w:after="0" w:line="240" w:lineRule="auto"/>
              <w:jc w:val="center"/>
              <w:rPr>
                <w:rFonts w:eastAsia="Times New Roman"/>
                <w:b/>
                <w:bCs/>
                <w:color w:val="000000"/>
                <w:lang w:eastAsia="es-AR"/>
              </w:rPr>
            </w:pPr>
            <w:r w:rsidRPr="00861CD1">
              <w:rPr>
                <w:rFonts w:eastAsia="Times New Roman"/>
                <w:b/>
                <w:bCs/>
                <w:color w:val="000000"/>
                <w:lang w:eastAsia="es-AR"/>
              </w:rPr>
              <w:t>$ 12,00</w:t>
            </w:r>
          </w:p>
        </w:tc>
      </w:tr>
      <w:tr w:rsidR="00861CD1" w:rsidRPr="00861CD1" w:rsidTr="00861CD1">
        <w:trPr>
          <w:trHeight w:val="300"/>
        </w:trPr>
        <w:tc>
          <w:tcPr>
            <w:tcW w:w="703" w:type="dxa"/>
            <w:tcBorders>
              <w:top w:val="nil"/>
              <w:left w:val="single" w:sz="4" w:space="0" w:color="auto"/>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8</w:t>
            </w:r>
          </w:p>
        </w:tc>
        <w:tc>
          <w:tcPr>
            <w:tcW w:w="11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1,25%</w:t>
            </w:r>
          </w:p>
        </w:tc>
        <w:tc>
          <w:tcPr>
            <w:tcW w:w="19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b/>
                <w:bCs/>
                <w:color w:val="000000"/>
                <w:lang w:eastAsia="es-AR"/>
              </w:rPr>
            </w:pPr>
            <w:r w:rsidRPr="00861CD1">
              <w:rPr>
                <w:rFonts w:eastAsia="Times New Roman"/>
                <w:b/>
                <w:bCs/>
                <w:color w:val="000000"/>
                <w:lang w:eastAsia="es-AR"/>
              </w:rPr>
              <w:t>$ 3,75</w:t>
            </w:r>
          </w:p>
        </w:tc>
        <w:tc>
          <w:tcPr>
            <w:tcW w:w="703"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color w:val="000000"/>
                <w:lang w:eastAsia="es-AR"/>
              </w:rPr>
            </w:pPr>
            <w:r w:rsidRPr="00861CD1">
              <w:rPr>
                <w:rFonts w:eastAsia="Times New Roman"/>
                <w:color w:val="000000"/>
                <w:lang w:eastAsia="es-AR"/>
              </w:rPr>
              <w:t>16</w:t>
            </w:r>
          </w:p>
        </w:tc>
        <w:tc>
          <w:tcPr>
            <w:tcW w:w="1120" w:type="dxa"/>
            <w:tcBorders>
              <w:top w:val="nil"/>
              <w:left w:val="nil"/>
              <w:bottom w:val="single" w:sz="4" w:space="0" w:color="auto"/>
              <w:right w:val="single" w:sz="4" w:space="0" w:color="auto"/>
            </w:tcBorders>
            <w:shd w:val="clear" w:color="auto" w:fill="auto"/>
            <w:noWrap/>
            <w:vAlign w:val="center"/>
            <w:hideMark/>
          </w:tcPr>
          <w:p w:rsidR="00861CD1" w:rsidRPr="00861CD1" w:rsidRDefault="003A68CF" w:rsidP="00861CD1">
            <w:pPr>
              <w:spacing w:after="0" w:line="240" w:lineRule="auto"/>
              <w:jc w:val="center"/>
              <w:rPr>
                <w:rFonts w:eastAsia="Times New Roman"/>
                <w:color w:val="000000"/>
                <w:lang w:eastAsia="es-AR"/>
              </w:rPr>
            </w:pPr>
            <w:r>
              <w:rPr>
                <w:rFonts w:eastAsia="Times New Roman"/>
                <w:color w:val="000000"/>
                <w:lang w:eastAsia="es-AR"/>
              </w:rPr>
              <w:t>4,5</w:t>
            </w:r>
            <w:r w:rsidR="00861CD1" w:rsidRPr="00861CD1">
              <w:rPr>
                <w:rFonts w:eastAsia="Times New Roman"/>
                <w:color w:val="000000"/>
                <w:lang w:eastAsia="es-AR"/>
              </w:rPr>
              <w:t>0%</w:t>
            </w:r>
          </w:p>
        </w:tc>
        <w:tc>
          <w:tcPr>
            <w:tcW w:w="1920" w:type="dxa"/>
            <w:tcBorders>
              <w:top w:val="nil"/>
              <w:left w:val="nil"/>
              <w:bottom w:val="single" w:sz="4" w:space="0" w:color="auto"/>
              <w:right w:val="single" w:sz="4" w:space="0" w:color="auto"/>
            </w:tcBorders>
            <w:shd w:val="clear" w:color="auto" w:fill="auto"/>
            <w:noWrap/>
            <w:vAlign w:val="center"/>
            <w:hideMark/>
          </w:tcPr>
          <w:p w:rsidR="00861CD1" w:rsidRPr="00861CD1" w:rsidRDefault="00861CD1" w:rsidP="00861CD1">
            <w:pPr>
              <w:spacing w:after="0" w:line="240" w:lineRule="auto"/>
              <w:jc w:val="center"/>
              <w:rPr>
                <w:rFonts w:eastAsia="Times New Roman"/>
                <w:b/>
                <w:bCs/>
                <w:color w:val="000000"/>
                <w:lang w:eastAsia="es-AR"/>
              </w:rPr>
            </w:pPr>
            <w:r w:rsidRPr="00861CD1">
              <w:rPr>
                <w:rFonts w:eastAsia="Times New Roman"/>
                <w:b/>
                <w:bCs/>
                <w:color w:val="000000"/>
                <w:lang w:eastAsia="es-AR"/>
              </w:rPr>
              <w:t>$ 1</w:t>
            </w:r>
            <w:r w:rsidR="003A68CF">
              <w:rPr>
                <w:rFonts w:eastAsia="Times New Roman"/>
                <w:b/>
                <w:bCs/>
                <w:color w:val="000000"/>
                <w:lang w:eastAsia="es-AR"/>
              </w:rPr>
              <w:t>3</w:t>
            </w:r>
            <w:r w:rsidRPr="00861CD1">
              <w:rPr>
                <w:rFonts w:eastAsia="Times New Roman"/>
                <w:b/>
                <w:bCs/>
                <w:color w:val="000000"/>
                <w:lang w:eastAsia="es-AR"/>
              </w:rPr>
              <w:t>,</w:t>
            </w:r>
            <w:r w:rsidR="003A68CF">
              <w:rPr>
                <w:rFonts w:eastAsia="Times New Roman"/>
                <w:b/>
                <w:bCs/>
                <w:color w:val="000000"/>
                <w:lang w:eastAsia="es-AR"/>
              </w:rPr>
              <w:t>5</w:t>
            </w:r>
            <w:r w:rsidRPr="00861CD1">
              <w:rPr>
                <w:rFonts w:eastAsia="Times New Roman"/>
                <w:b/>
                <w:bCs/>
                <w:color w:val="000000"/>
                <w:lang w:eastAsia="es-AR"/>
              </w:rPr>
              <w:t>0</w:t>
            </w:r>
          </w:p>
        </w:tc>
      </w:tr>
    </w:tbl>
    <w:p w:rsidR="00861CD1" w:rsidRPr="00864245" w:rsidRDefault="00861CD1" w:rsidP="00861CD1">
      <w:pPr>
        <w:rPr>
          <w:i/>
          <w:sz w:val="16"/>
          <w:szCs w:val="16"/>
          <w:u w:val="single"/>
        </w:rPr>
      </w:pPr>
      <w:r w:rsidRPr="00864245">
        <w:rPr>
          <w:i/>
          <w:sz w:val="16"/>
          <w:szCs w:val="16"/>
          <w:u w:val="single"/>
        </w:rPr>
        <w:t>Según la alícuota, debemos colocar el valor de la columna “</w:t>
      </w:r>
      <w:r>
        <w:rPr>
          <w:i/>
          <w:sz w:val="16"/>
          <w:szCs w:val="16"/>
          <w:u w:val="single"/>
        </w:rPr>
        <w:t>Importe Mí</w:t>
      </w:r>
      <w:r w:rsidRPr="00864245">
        <w:rPr>
          <w:i/>
          <w:sz w:val="16"/>
          <w:szCs w:val="16"/>
          <w:u w:val="single"/>
        </w:rPr>
        <w:t>nimo” en el campo “</w:t>
      </w:r>
      <w:r>
        <w:rPr>
          <w:i/>
          <w:sz w:val="16"/>
          <w:szCs w:val="16"/>
          <w:u w:val="single"/>
        </w:rPr>
        <w:t>Mí</w:t>
      </w:r>
      <w:r w:rsidRPr="00864245">
        <w:rPr>
          <w:i/>
          <w:sz w:val="16"/>
          <w:szCs w:val="16"/>
          <w:u w:val="single"/>
        </w:rPr>
        <w:t xml:space="preserve">nimo de </w:t>
      </w:r>
      <w:r>
        <w:rPr>
          <w:i/>
          <w:sz w:val="16"/>
          <w:szCs w:val="16"/>
          <w:u w:val="single"/>
        </w:rPr>
        <w:t>Rete</w:t>
      </w:r>
      <w:r w:rsidRPr="00864245">
        <w:rPr>
          <w:i/>
          <w:sz w:val="16"/>
          <w:szCs w:val="16"/>
          <w:u w:val="single"/>
        </w:rPr>
        <w:t>”</w:t>
      </w:r>
      <w:r>
        <w:rPr>
          <w:i/>
          <w:sz w:val="16"/>
          <w:szCs w:val="16"/>
          <w:u w:val="single"/>
        </w:rPr>
        <w:t xml:space="preserve"> del ABM de Retenciones Definibles</w:t>
      </w:r>
    </w:p>
    <w:p w:rsidR="00861CD1" w:rsidRDefault="00861CD1" w:rsidP="00161A55">
      <w:pPr>
        <w:rPr>
          <w:b/>
          <w:u w:val="single"/>
        </w:rPr>
      </w:pPr>
      <w:r w:rsidRPr="00861CD1">
        <w:rPr>
          <w:b/>
          <w:u w:val="single"/>
        </w:rPr>
        <w:t>LECTURA DE PADRONES</w:t>
      </w:r>
    </w:p>
    <w:p w:rsidR="0011353A" w:rsidRDefault="0011353A" w:rsidP="00161A55">
      <w:r>
        <w:t xml:space="preserve">Tanto en compras como en ventas, vamos a tener el </w:t>
      </w:r>
      <w:r w:rsidR="00C6698C">
        <w:t>a</w:t>
      </w:r>
      <w:r w:rsidR="005E52E7">
        <w:t>sistente</w:t>
      </w:r>
      <w:r>
        <w:t xml:space="preserve"> para la lectura de padrones y actualización de alícuotas.</w:t>
      </w:r>
    </w:p>
    <w:p w:rsidR="0011353A" w:rsidRPr="0011353A" w:rsidRDefault="0011353A" w:rsidP="00161A55">
      <w:pPr>
        <w:rPr>
          <w:b/>
          <w:i/>
        </w:rPr>
      </w:pPr>
      <w:r w:rsidRPr="0011353A">
        <w:rPr>
          <w:b/>
          <w:i/>
        </w:rPr>
        <w:t>1.-</w:t>
      </w:r>
      <w:r>
        <w:rPr>
          <w:b/>
          <w:i/>
        </w:rPr>
        <w:t xml:space="preserve"> </w:t>
      </w:r>
      <w:r w:rsidRPr="0011353A">
        <w:rPr>
          <w:b/>
          <w:i/>
        </w:rPr>
        <w:t>Ventas</w:t>
      </w:r>
    </w:p>
    <w:p w:rsidR="0011353A" w:rsidRPr="0011353A" w:rsidRDefault="0011353A" w:rsidP="00161A55">
      <w:r>
        <w:t xml:space="preserve">Primero </w:t>
      </w:r>
      <w:r w:rsidRPr="0011353A">
        <w:t>indicamos que padrones vamos a leer y si vamos a actualizar las alícuotas de los clientes.</w:t>
      </w:r>
    </w:p>
    <w:p w:rsidR="0011353A" w:rsidRPr="0011353A" w:rsidRDefault="0011353A" w:rsidP="0011353A">
      <w:r w:rsidRPr="0011353A">
        <w:rPr>
          <w:noProof/>
          <w:lang w:eastAsia="es-AR"/>
        </w:rPr>
        <w:drawing>
          <wp:inline distT="0" distB="0" distL="0" distR="0" wp14:anchorId="6617831D" wp14:editId="2F0DDC08">
            <wp:extent cx="5874385" cy="3950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4385" cy="3950970"/>
                    </a:xfrm>
                    <a:prstGeom prst="rect">
                      <a:avLst/>
                    </a:prstGeom>
                    <a:noFill/>
                    <a:ln>
                      <a:noFill/>
                    </a:ln>
                  </pic:spPr>
                </pic:pic>
              </a:graphicData>
            </a:graphic>
          </wp:inline>
        </w:drawing>
      </w:r>
    </w:p>
    <w:p w:rsidR="0011353A" w:rsidRPr="0011353A" w:rsidRDefault="0011353A" w:rsidP="0011353A"/>
    <w:p w:rsidR="0011353A" w:rsidRDefault="0011353A" w:rsidP="0011353A">
      <w:r w:rsidRPr="0011353A">
        <w:lastRenderedPageBreak/>
        <w:t>En la segunda pantalla, indicamos la ruta de los padrones a leer.</w:t>
      </w:r>
    </w:p>
    <w:p w:rsidR="00FA72B2" w:rsidRPr="0011353A" w:rsidRDefault="00FA72B2" w:rsidP="0011353A">
      <w:r>
        <w:t>Es importante que la importación de los padrones se realice en forma simultánea y que los mismos se encuentren actualizados ya que el sistema verificara el número de CUIT en todos los padrones para hacer la asignación de alícuota en forma correcta.</w:t>
      </w:r>
    </w:p>
    <w:p w:rsidR="0011353A" w:rsidRPr="0011353A" w:rsidRDefault="0011353A" w:rsidP="0011353A">
      <w:r w:rsidRPr="0011353A">
        <w:rPr>
          <w:noProof/>
          <w:lang w:eastAsia="es-AR"/>
        </w:rPr>
        <w:drawing>
          <wp:inline distT="0" distB="0" distL="0" distR="0" wp14:anchorId="41BEF958" wp14:editId="56708806">
            <wp:extent cx="4727275" cy="3179451"/>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9165" cy="3180722"/>
                    </a:xfrm>
                    <a:prstGeom prst="rect">
                      <a:avLst/>
                    </a:prstGeom>
                    <a:noFill/>
                    <a:ln>
                      <a:noFill/>
                    </a:ln>
                  </pic:spPr>
                </pic:pic>
              </a:graphicData>
            </a:graphic>
          </wp:inline>
        </w:drawing>
      </w:r>
    </w:p>
    <w:p w:rsidR="0011353A" w:rsidRPr="0011353A" w:rsidRDefault="0011353A" w:rsidP="0011353A">
      <w:r w:rsidRPr="0011353A">
        <w:t xml:space="preserve">Finalmente, elegimos que datos vamos a recibir como resultados. </w:t>
      </w:r>
    </w:p>
    <w:p w:rsidR="0011353A" w:rsidRPr="0011353A" w:rsidRDefault="0011353A" w:rsidP="0011353A">
      <w:r w:rsidRPr="0011353A">
        <w:rPr>
          <w:noProof/>
          <w:lang w:eastAsia="es-AR"/>
        </w:rPr>
        <w:drawing>
          <wp:inline distT="0" distB="0" distL="0" distR="0" wp14:anchorId="361F2CF7" wp14:editId="650CD0F3">
            <wp:extent cx="4784074" cy="3217653"/>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9360" cy="3221208"/>
                    </a:xfrm>
                    <a:prstGeom prst="rect">
                      <a:avLst/>
                    </a:prstGeom>
                    <a:noFill/>
                    <a:ln>
                      <a:noFill/>
                    </a:ln>
                  </pic:spPr>
                </pic:pic>
              </a:graphicData>
            </a:graphic>
          </wp:inline>
        </w:drawing>
      </w:r>
    </w:p>
    <w:p w:rsidR="0011353A" w:rsidRPr="0011353A" w:rsidRDefault="0011353A" w:rsidP="0011353A"/>
    <w:p w:rsidR="0011353A" w:rsidRPr="0011353A" w:rsidRDefault="0011353A" w:rsidP="0011353A">
      <w:pPr>
        <w:rPr>
          <w:b/>
          <w:i/>
        </w:rPr>
      </w:pPr>
      <w:r w:rsidRPr="0011353A">
        <w:rPr>
          <w:b/>
          <w:i/>
        </w:rPr>
        <w:lastRenderedPageBreak/>
        <w:t>2.-</w:t>
      </w:r>
      <w:r>
        <w:rPr>
          <w:b/>
          <w:i/>
        </w:rPr>
        <w:t xml:space="preserve"> </w:t>
      </w:r>
      <w:r w:rsidRPr="0011353A">
        <w:rPr>
          <w:b/>
          <w:i/>
        </w:rPr>
        <w:t xml:space="preserve">Compras </w:t>
      </w:r>
    </w:p>
    <w:p w:rsidR="0011353A" w:rsidRDefault="0011353A" w:rsidP="00161A55">
      <w:r>
        <w:t>En compras el circuito es exactamente igual, con la diferencia que los resultados que vamos a elegir para ver son los siguientes.</w:t>
      </w:r>
    </w:p>
    <w:p w:rsidR="0011353A" w:rsidRDefault="0011353A" w:rsidP="00161A55">
      <w:r>
        <w:rPr>
          <w:noProof/>
          <w:lang w:eastAsia="es-AR"/>
        </w:rPr>
        <w:drawing>
          <wp:inline distT="0" distB="0" distL="0" distR="0">
            <wp:extent cx="5882005" cy="3962412"/>
            <wp:effectExtent l="0" t="0" r="4445" b="0"/>
            <wp:docPr id="11" name="Picture 11" descr="cid:image014.png@01D22EC1.B4B2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id:image014.png@01D22EC1.B4B2D3B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882005" cy="3962412"/>
                    </a:xfrm>
                    <a:prstGeom prst="rect">
                      <a:avLst/>
                    </a:prstGeom>
                    <a:noFill/>
                    <a:ln>
                      <a:noFill/>
                    </a:ln>
                  </pic:spPr>
                </pic:pic>
              </a:graphicData>
            </a:graphic>
          </wp:inline>
        </w:drawing>
      </w:r>
    </w:p>
    <w:p w:rsidR="009F1F2B" w:rsidRDefault="009F1F2B" w:rsidP="009F1F2B">
      <w:r>
        <w:t>Al procesar la actualización de alícuotas, puede ocurrir que un contribuyente este en más de un padrón, en dicho caso el sistema prioriza la asignación según el siguiente criterio</w:t>
      </w:r>
    </w:p>
    <w:p w:rsidR="009F1F2B" w:rsidRPr="009F1F2B" w:rsidRDefault="009F1F2B" w:rsidP="009F1F2B">
      <w:pPr>
        <w:pStyle w:val="ListParagraph"/>
        <w:numPr>
          <w:ilvl w:val="0"/>
          <w:numId w:val="15"/>
        </w:numPr>
      </w:pPr>
      <w:r w:rsidRPr="009F1F2B">
        <w:t>Magnitudes superadas</w:t>
      </w:r>
    </w:p>
    <w:p w:rsidR="009F1F2B" w:rsidRPr="009F1F2B" w:rsidRDefault="009F1F2B" w:rsidP="009F1F2B">
      <w:pPr>
        <w:pStyle w:val="ListParagraph"/>
        <w:numPr>
          <w:ilvl w:val="0"/>
          <w:numId w:val="15"/>
        </w:numPr>
      </w:pPr>
      <w:r w:rsidRPr="009F1F2B">
        <w:t>Exentos y con alícuotas diferenciales</w:t>
      </w:r>
    </w:p>
    <w:p w:rsidR="009F1F2B" w:rsidRPr="009F1F2B" w:rsidRDefault="009F1F2B" w:rsidP="009F1F2B">
      <w:pPr>
        <w:pStyle w:val="ListParagraph"/>
        <w:numPr>
          <w:ilvl w:val="0"/>
          <w:numId w:val="15"/>
        </w:numPr>
      </w:pPr>
      <w:r w:rsidRPr="009F1F2B">
        <w:t>Alto riesgo fiscal</w:t>
      </w:r>
    </w:p>
    <w:p w:rsidR="009F1F2B" w:rsidRPr="009F1F2B" w:rsidRDefault="009F1F2B" w:rsidP="009F1F2B">
      <w:pPr>
        <w:pStyle w:val="ListParagraph"/>
        <w:numPr>
          <w:ilvl w:val="0"/>
          <w:numId w:val="15"/>
        </w:numPr>
      </w:pPr>
      <w:r w:rsidRPr="009F1F2B">
        <w:t>Régimen general</w:t>
      </w:r>
    </w:p>
    <w:p w:rsidR="009F1F2B" w:rsidRDefault="009F1F2B" w:rsidP="009F1F2B"/>
    <w:p w:rsidR="009F1F2B" w:rsidRDefault="009F1F2B" w:rsidP="009F1F2B">
      <w:r>
        <w:t xml:space="preserve">Esta prioridad fue definida en base a conversaciones telefónicas con representantes de AGIP. Hasta el momento lo único especificado en la Resolución N° 364 complementarias y modificatorias, es que </w:t>
      </w:r>
      <w:proofErr w:type="gramStart"/>
      <w:r>
        <w:t>el padrón de Alto riesgo fiscal tienen</w:t>
      </w:r>
      <w:proofErr w:type="gramEnd"/>
      <w:r>
        <w:t xml:space="preserve"> mayor prioridad que el de régimen general.</w:t>
      </w:r>
      <w:bookmarkStart w:id="0" w:name="_GoBack"/>
      <w:bookmarkEnd w:id="0"/>
    </w:p>
    <w:p w:rsidR="004F2A76" w:rsidRPr="0011353A" w:rsidRDefault="004F2A76" w:rsidP="009F1F2B"/>
    <w:sectPr w:rsidR="004F2A76" w:rsidRPr="0011353A" w:rsidSect="00660E2C">
      <w:headerReference w:type="default" r:id="rId21"/>
      <w:footerReference w:type="default" r:id="rId22"/>
      <w:pgSz w:w="12240" w:h="15840"/>
      <w:pgMar w:top="1244" w:right="1701" w:bottom="1417" w:left="1276" w:header="284"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14" w:rsidRDefault="00A53114" w:rsidP="009E5A42">
      <w:pPr>
        <w:spacing w:after="0" w:line="240" w:lineRule="auto"/>
      </w:pPr>
      <w:r>
        <w:separator/>
      </w:r>
    </w:p>
  </w:endnote>
  <w:endnote w:type="continuationSeparator" w:id="0">
    <w:p w:rsidR="00A53114" w:rsidRDefault="00A53114" w:rsidP="009E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6" w:type="dxa"/>
      <w:jc w:val="center"/>
      <w:tblBorders>
        <w:insideH w:val="single" w:sz="4" w:space="0" w:color="000000"/>
        <w:insideV w:val="single" w:sz="4" w:space="0" w:color="000000"/>
      </w:tblBorders>
      <w:tblLook w:val="04A0" w:firstRow="1" w:lastRow="0" w:firstColumn="1" w:lastColumn="0" w:noHBand="0" w:noVBand="1"/>
    </w:tblPr>
    <w:tblGrid>
      <w:gridCol w:w="3544"/>
      <w:gridCol w:w="3261"/>
      <w:gridCol w:w="4111"/>
    </w:tblGrid>
    <w:tr w:rsidR="00940808" w:rsidRPr="00257418" w:rsidTr="00257418">
      <w:trPr>
        <w:jc w:val="center"/>
      </w:trPr>
      <w:tc>
        <w:tcPr>
          <w:tcW w:w="3544" w:type="dxa"/>
        </w:tcPr>
        <w:p w:rsidR="00940808" w:rsidRPr="00257418" w:rsidRDefault="00940808" w:rsidP="00257418">
          <w:pPr>
            <w:pStyle w:val="Footer"/>
            <w:rPr>
              <w:rFonts w:ascii="Verdana" w:hAnsi="Verdana"/>
              <w:b/>
              <w:color w:val="595959"/>
              <w:sz w:val="16"/>
              <w:szCs w:val="16"/>
            </w:rPr>
          </w:pPr>
          <w:r w:rsidRPr="00257418">
            <w:rPr>
              <w:rFonts w:ascii="Verdana" w:hAnsi="Verdana"/>
              <w:b/>
              <w:color w:val="595959"/>
              <w:sz w:val="16"/>
              <w:szCs w:val="16"/>
            </w:rPr>
            <w:t>AXOFT ARGENTINA S.A.</w:t>
          </w:r>
        </w:p>
        <w:p w:rsidR="00940808" w:rsidRPr="00257418" w:rsidRDefault="00940808" w:rsidP="00257418">
          <w:pPr>
            <w:pStyle w:val="Footer"/>
            <w:rPr>
              <w:rFonts w:ascii="Verdana" w:hAnsi="Verdana"/>
              <w:color w:val="595959"/>
              <w:sz w:val="16"/>
              <w:szCs w:val="16"/>
            </w:rPr>
          </w:pPr>
          <w:r w:rsidRPr="00257418">
            <w:rPr>
              <w:rFonts w:ascii="Verdana" w:hAnsi="Verdana"/>
              <w:color w:val="595959"/>
              <w:sz w:val="16"/>
              <w:szCs w:val="16"/>
            </w:rPr>
            <w:t>Cerrito 1186 Piso 2º - CP C1010AAX</w:t>
          </w:r>
          <w:r w:rsidRPr="00257418">
            <w:rPr>
              <w:rFonts w:ascii="Verdana" w:hAnsi="Verdana"/>
              <w:color w:val="595959"/>
              <w:sz w:val="16"/>
              <w:szCs w:val="16"/>
            </w:rPr>
            <w:br/>
            <w:t>Buenos Aires – Argentina</w:t>
          </w:r>
        </w:p>
      </w:tc>
      <w:tc>
        <w:tcPr>
          <w:tcW w:w="3261" w:type="dxa"/>
        </w:tcPr>
        <w:p w:rsidR="00940808" w:rsidRPr="00257418" w:rsidRDefault="00940808" w:rsidP="00257418">
          <w:pPr>
            <w:pStyle w:val="Footer"/>
            <w:rPr>
              <w:rFonts w:ascii="Verdana" w:hAnsi="Verdana"/>
              <w:b/>
              <w:color w:val="595959"/>
              <w:sz w:val="16"/>
              <w:szCs w:val="16"/>
            </w:rPr>
          </w:pPr>
          <w:r w:rsidRPr="00257418">
            <w:rPr>
              <w:rFonts w:ascii="Verdana" w:hAnsi="Verdana"/>
              <w:b/>
              <w:color w:val="595959"/>
              <w:sz w:val="16"/>
              <w:szCs w:val="16"/>
            </w:rPr>
            <w:t>TANGO CENTRO DE CLIENTES</w:t>
          </w:r>
        </w:p>
        <w:p w:rsidR="00940808" w:rsidRPr="00257418" w:rsidRDefault="00940808" w:rsidP="00257418">
          <w:pPr>
            <w:pStyle w:val="Footer"/>
            <w:ind w:left="34"/>
            <w:rPr>
              <w:color w:val="595959"/>
            </w:rPr>
          </w:pPr>
          <w:r w:rsidRPr="00257418">
            <w:rPr>
              <w:rFonts w:ascii="Verdana" w:hAnsi="Verdana"/>
              <w:color w:val="595959"/>
              <w:sz w:val="16"/>
              <w:szCs w:val="16"/>
            </w:rPr>
            <w:t>Cerrito 1214 - CP C1010AAZ</w:t>
          </w:r>
          <w:r w:rsidRPr="00257418">
            <w:rPr>
              <w:rFonts w:ascii="Verdana" w:hAnsi="Verdana"/>
              <w:color w:val="595959"/>
              <w:sz w:val="16"/>
              <w:szCs w:val="16"/>
            </w:rPr>
            <w:br/>
            <w:t>Buenos Aires – Argentina</w:t>
          </w:r>
        </w:p>
      </w:tc>
      <w:tc>
        <w:tcPr>
          <w:tcW w:w="4111" w:type="dxa"/>
        </w:tcPr>
        <w:p w:rsidR="00940808" w:rsidRPr="00257418" w:rsidRDefault="00940808" w:rsidP="00257418">
          <w:pPr>
            <w:pStyle w:val="Footer"/>
            <w:rPr>
              <w:rFonts w:ascii="Verdana" w:hAnsi="Verdana"/>
              <w:color w:val="595959"/>
              <w:sz w:val="16"/>
              <w:szCs w:val="16"/>
            </w:rPr>
          </w:pPr>
          <w:r w:rsidRPr="00257418">
            <w:rPr>
              <w:rFonts w:ascii="Verdana" w:hAnsi="Verdana"/>
              <w:color w:val="595959"/>
              <w:sz w:val="16"/>
              <w:szCs w:val="16"/>
            </w:rPr>
            <w:t xml:space="preserve">+54 (011) 5031-8264 - +54 (011) 4816-2620  </w:t>
          </w:r>
        </w:p>
        <w:p w:rsidR="00940808" w:rsidRPr="00257418" w:rsidRDefault="00940808" w:rsidP="00257418">
          <w:pPr>
            <w:pStyle w:val="Footer"/>
            <w:rPr>
              <w:rFonts w:ascii="Verdana" w:hAnsi="Verdana"/>
              <w:color w:val="595959"/>
              <w:sz w:val="16"/>
              <w:szCs w:val="16"/>
            </w:rPr>
          </w:pPr>
          <w:r w:rsidRPr="00257418">
            <w:rPr>
              <w:rFonts w:ascii="Verdana" w:hAnsi="Verdana"/>
              <w:b/>
              <w:color w:val="595959"/>
              <w:sz w:val="16"/>
              <w:szCs w:val="16"/>
            </w:rPr>
            <w:t xml:space="preserve">Apoyo </w:t>
          </w:r>
          <w:proofErr w:type="gramStart"/>
          <w:r w:rsidRPr="00257418">
            <w:rPr>
              <w:rFonts w:ascii="Verdana" w:hAnsi="Verdana"/>
              <w:b/>
              <w:color w:val="595959"/>
              <w:sz w:val="16"/>
              <w:szCs w:val="16"/>
            </w:rPr>
            <w:t xml:space="preserve">técnico </w:t>
          </w:r>
          <w:r w:rsidRPr="00257418">
            <w:rPr>
              <w:rFonts w:ascii="Verdana" w:hAnsi="Verdana"/>
              <w:color w:val="595959"/>
              <w:sz w:val="16"/>
              <w:szCs w:val="16"/>
            </w:rPr>
            <w:t xml:space="preserve"> +</w:t>
          </w:r>
          <w:proofErr w:type="gramEnd"/>
          <w:r w:rsidRPr="00257418">
            <w:rPr>
              <w:rFonts w:ascii="Verdana" w:hAnsi="Verdana"/>
              <w:color w:val="595959"/>
              <w:sz w:val="16"/>
              <w:szCs w:val="16"/>
            </w:rPr>
            <w:t>54 (011) 5256-2919</w:t>
          </w:r>
        </w:p>
        <w:p w:rsidR="00940808" w:rsidRPr="00257418" w:rsidRDefault="00940808" w:rsidP="00940808">
          <w:pPr>
            <w:pStyle w:val="Footer"/>
            <w:rPr>
              <w:rFonts w:ascii="Verdana" w:hAnsi="Verdana"/>
              <w:color w:val="595959"/>
              <w:sz w:val="16"/>
              <w:szCs w:val="16"/>
            </w:rPr>
          </w:pPr>
          <w:r w:rsidRPr="00257418">
            <w:rPr>
              <w:rFonts w:ascii="Verdana" w:hAnsi="Verdana"/>
              <w:color w:val="595959"/>
              <w:sz w:val="16"/>
              <w:szCs w:val="16"/>
            </w:rPr>
            <w:t xml:space="preserve">e-mail: </w:t>
          </w:r>
          <w:hyperlink r:id="rId1" w:history="1">
            <w:r w:rsidRPr="00257418">
              <w:rPr>
                <w:rStyle w:val="Hyperlink"/>
                <w:rFonts w:ascii="Verdana" w:hAnsi="Verdana"/>
                <w:color w:val="595959"/>
                <w:sz w:val="16"/>
                <w:szCs w:val="16"/>
              </w:rPr>
              <w:t>servicios@axoft.com</w:t>
            </w:r>
          </w:hyperlink>
          <w:r w:rsidRPr="00257418">
            <w:rPr>
              <w:rFonts w:ascii="Verdana" w:hAnsi="Verdana"/>
              <w:color w:val="595959"/>
              <w:sz w:val="16"/>
              <w:szCs w:val="16"/>
            </w:rPr>
            <w:t xml:space="preserve">  - </w:t>
          </w:r>
          <w:hyperlink r:id="rId2" w:history="1">
            <w:r w:rsidRPr="00257418">
              <w:rPr>
                <w:rStyle w:val="Hyperlink"/>
                <w:rFonts w:ascii="Verdana" w:hAnsi="Verdana"/>
                <w:color w:val="595959"/>
                <w:sz w:val="16"/>
                <w:szCs w:val="16"/>
              </w:rPr>
              <w:t>www.axoft.com</w:t>
            </w:r>
          </w:hyperlink>
          <w:r w:rsidRPr="00257418">
            <w:rPr>
              <w:rFonts w:ascii="Verdana" w:hAnsi="Verdana"/>
              <w:color w:val="595959"/>
              <w:sz w:val="16"/>
              <w:szCs w:val="16"/>
            </w:rPr>
            <w:t xml:space="preserve"> </w:t>
          </w:r>
        </w:p>
      </w:tc>
    </w:tr>
  </w:tbl>
  <w:p w:rsidR="007E6148" w:rsidRPr="00395A2B" w:rsidRDefault="007E6148" w:rsidP="00940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14" w:rsidRDefault="00A53114" w:rsidP="009E5A42">
      <w:pPr>
        <w:spacing w:after="0" w:line="240" w:lineRule="auto"/>
      </w:pPr>
      <w:r>
        <w:separator/>
      </w:r>
    </w:p>
  </w:footnote>
  <w:footnote w:type="continuationSeparator" w:id="0">
    <w:p w:rsidR="00A53114" w:rsidRDefault="00A53114" w:rsidP="009E5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60" w:rsidRDefault="00C0038B" w:rsidP="00437260">
    <w:pPr>
      <w:pStyle w:val="Header"/>
      <w:ind w:left="-142"/>
    </w:pPr>
    <w:r>
      <w:rPr>
        <w:noProof/>
        <w:lang w:eastAsia="es-AR"/>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486410</wp:posOffset>
              </wp:positionV>
              <wp:extent cx="6219190" cy="0"/>
              <wp:effectExtent l="9525" t="10160" r="10160" b="889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64B91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8.3pt" to="482.2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">
              <v:stroke startarrowwidth="narrow" startarrowlength="short" endarrowwidth="narrow" endarrowlength="short"/>
            </v:line>
          </w:pict>
        </mc:Fallback>
      </mc:AlternateContent>
    </w:r>
    <w:r>
      <w:rPr>
        <w:noProof/>
        <w:lang w:eastAsia="es-AR"/>
      </w:rPr>
      <w:drawing>
        <wp:inline distT="0" distB="0" distL="0" distR="0">
          <wp:extent cx="1052195" cy="370840"/>
          <wp:effectExtent l="0" t="0" r="0" b="0"/>
          <wp:docPr id="1" name="Picture 1" descr="Axoft-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oft-6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370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ADAEA1E"/>
    <w:lvl w:ilvl="0">
      <w:numFmt w:val="bullet"/>
      <w:lvlText w:val="*"/>
      <w:lvlJc w:val="left"/>
    </w:lvl>
  </w:abstractNum>
  <w:abstractNum w:abstractNumId="1" w15:restartNumberingAfterBreak="0">
    <w:nsid w:val="087A5976"/>
    <w:multiLevelType w:val="hybridMultilevel"/>
    <w:tmpl w:val="BF4670E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E5D48BE"/>
    <w:multiLevelType w:val="hybridMultilevel"/>
    <w:tmpl w:val="55563430"/>
    <w:lvl w:ilvl="0" w:tplc="2C0A000F">
      <w:start w:val="1"/>
      <w:numFmt w:val="decimal"/>
      <w:lvlText w:val="%1."/>
      <w:lvlJc w:val="left"/>
      <w:pPr>
        <w:ind w:left="786" w:hanging="360"/>
      </w:pPr>
    </w:lvl>
    <w:lvl w:ilvl="1" w:tplc="2C0A0019">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3" w15:restartNumberingAfterBreak="0">
    <w:nsid w:val="0E627114"/>
    <w:multiLevelType w:val="singleLevel"/>
    <w:tmpl w:val="8ED4BE6A"/>
    <w:lvl w:ilvl="0">
      <w:start w:val="1"/>
      <w:numFmt w:val="lowerLetter"/>
      <w:lvlText w:val="%1)"/>
      <w:legacy w:legacy="1" w:legacySpace="120" w:legacyIndent="360"/>
      <w:lvlJc w:val="left"/>
      <w:pPr>
        <w:ind w:left="720" w:hanging="360"/>
      </w:pPr>
      <w:rPr>
        <w:rFonts w:ascii="Arial" w:hAnsi="Arial" w:cs="Arial" w:hint="default"/>
      </w:rPr>
    </w:lvl>
  </w:abstractNum>
  <w:abstractNum w:abstractNumId="4" w15:restartNumberingAfterBreak="0">
    <w:nsid w:val="0F491439"/>
    <w:multiLevelType w:val="hybridMultilevel"/>
    <w:tmpl w:val="DCBCD876"/>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15:restartNumberingAfterBreak="0">
    <w:nsid w:val="16630609"/>
    <w:multiLevelType w:val="hybridMultilevel"/>
    <w:tmpl w:val="067AF63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8CA033C"/>
    <w:multiLevelType w:val="multilevel"/>
    <w:tmpl w:val="AB22D5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B85C9E"/>
    <w:multiLevelType w:val="hybridMultilevel"/>
    <w:tmpl w:val="DA5ECC56"/>
    <w:lvl w:ilvl="0" w:tplc="4768B21E">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15:restartNumberingAfterBreak="0">
    <w:nsid w:val="351E7B42"/>
    <w:multiLevelType w:val="multilevel"/>
    <w:tmpl w:val="E064D9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9" w15:restartNumberingAfterBreak="0">
    <w:nsid w:val="494E6E7A"/>
    <w:multiLevelType w:val="multilevel"/>
    <w:tmpl w:val="1178696E"/>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 w15:restartNumberingAfterBreak="0">
    <w:nsid w:val="505C1F36"/>
    <w:multiLevelType w:val="hybridMultilevel"/>
    <w:tmpl w:val="129AEAE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62211DB"/>
    <w:multiLevelType w:val="hybridMultilevel"/>
    <w:tmpl w:val="866EAE8C"/>
    <w:lvl w:ilvl="0" w:tplc="2C0A000F">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8A77EA1"/>
    <w:multiLevelType w:val="hybridMultilevel"/>
    <w:tmpl w:val="5412B55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F4D079A"/>
    <w:multiLevelType w:val="hybridMultilevel"/>
    <w:tmpl w:val="225C891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FED7C12"/>
    <w:multiLevelType w:val="hybridMultilevel"/>
    <w:tmpl w:val="76AAE93A"/>
    <w:lvl w:ilvl="0" w:tplc="D9E0128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2"/>
  </w:num>
  <w:num w:numId="2">
    <w:abstractNumId w:val="13"/>
  </w:num>
  <w:num w:numId="3">
    <w:abstractNumId w:val="3"/>
  </w:num>
  <w:num w:numId="4">
    <w:abstractNumId w:val="0"/>
    <w:lvlOverride w:ilvl="0">
      <w:lvl w:ilvl="0">
        <w:start w:val="1"/>
        <w:numFmt w:val="bullet"/>
        <w:lvlText w:val=""/>
        <w:legacy w:legacy="1" w:legacySpace="120" w:legacyIndent="360"/>
        <w:lvlJc w:val="left"/>
        <w:pPr>
          <w:ind w:left="1440" w:hanging="360"/>
        </w:pPr>
        <w:rPr>
          <w:rFonts w:ascii="Wingdings" w:hAnsi="Wingdings" w:hint="default"/>
        </w:rPr>
      </w:lvl>
    </w:lvlOverride>
  </w:num>
  <w:num w:numId="5">
    <w:abstractNumId w:val="6"/>
  </w:num>
  <w:num w:numId="6">
    <w:abstractNumId w:val="11"/>
  </w:num>
  <w:num w:numId="7">
    <w:abstractNumId w:val="2"/>
  </w:num>
  <w:num w:numId="8">
    <w:abstractNumId w:val="8"/>
  </w:num>
  <w:num w:numId="9">
    <w:abstractNumId w:val="9"/>
  </w:num>
  <w:num w:numId="10">
    <w:abstractNumId w:val="1"/>
  </w:num>
  <w:num w:numId="11">
    <w:abstractNumId w:val="14"/>
  </w:num>
  <w:num w:numId="12">
    <w:abstractNumId w:val="7"/>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B3"/>
    <w:rsid w:val="00000B39"/>
    <w:rsid w:val="00001957"/>
    <w:rsid w:val="00010119"/>
    <w:rsid w:val="000434F2"/>
    <w:rsid w:val="00085830"/>
    <w:rsid w:val="001129E4"/>
    <w:rsid w:val="0011353A"/>
    <w:rsid w:val="001210FB"/>
    <w:rsid w:val="001444DB"/>
    <w:rsid w:val="00146B40"/>
    <w:rsid w:val="00161A55"/>
    <w:rsid w:val="00183D35"/>
    <w:rsid w:val="001A2F72"/>
    <w:rsid w:val="001B6A92"/>
    <w:rsid w:val="001E5A61"/>
    <w:rsid w:val="00257418"/>
    <w:rsid w:val="0026619B"/>
    <w:rsid w:val="002E58B1"/>
    <w:rsid w:val="003259EF"/>
    <w:rsid w:val="003423AC"/>
    <w:rsid w:val="00365C60"/>
    <w:rsid w:val="00395A2B"/>
    <w:rsid w:val="003A68CF"/>
    <w:rsid w:val="003D1EB3"/>
    <w:rsid w:val="003E50AB"/>
    <w:rsid w:val="003F2205"/>
    <w:rsid w:val="00437260"/>
    <w:rsid w:val="004549CA"/>
    <w:rsid w:val="00482345"/>
    <w:rsid w:val="00495ED1"/>
    <w:rsid w:val="004F1527"/>
    <w:rsid w:val="004F2A76"/>
    <w:rsid w:val="00502C35"/>
    <w:rsid w:val="00530549"/>
    <w:rsid w:val="00542611"/>
    <w:rsid w:val="0056561D"/>
    <w:rsid w:val="005677AC"/>
    <w:rsid w:val="0057542D"/>
    <w:rsid w:val="005B2C88"/>
    <w:rsid w:val="005D7580"/>
    <w:rsid w:val="005E52E7"/>
    <w:rsid w:val="006276CF"/>
    <w:rsid w:val="00636DCA"/>
    <w:rsid w:val="00645E97"/>
    <w:rsid w:val="00656124"/>
    <w:rsid w:val="00660E2C"/>
    <w:rsid w:val="006A3BE7"/>
    <w:rsid w:val="006A57AA"/>
    <w:rsid w:val="006C2EB8"/>
    <w:rsid w:val="006F266D"/>
    <w:rsid w:val="006F34F6"/>
    <w:rsid w:val="0071715C"/>
    <w:rsid w:val="00721763"/>
    <w:rsid w:val="00777588"/>
    <w:rsid w:val="007901F2"/>
    <w:rsid w:val="007C539E"/>
    <w:rsid w:val="007E1950"/>
    <w:rsid w:val="007E6148"/>
    <w:rsid w:val="008257E3"/>
    <w:rsid w:val="00855807"/>
    <w:rsid w:val="008603E3"/>
    <w:rsid w:val="00861CD1"/>
    <w:rsid w:val="00864245"/>
    <w:rsid w:val="0088368A"/>
    <w:rsid w:val="008855A5"/>
    <w:rsid w:val="008F0CBB"/>
    <w:rsid w:val="00936970"/>
    <w:rsid w:val="00940808"/>
    <w:rsid w:val="0095116A"/>
    <w:rsid w:val="0097382F"/>
    <w:rsid w:val="009C2576"/>
    <w:rsid w:val="009E5A42"/>
    <w:rsid w:val="009F1F2B"/>
    <w:rsid w:val="00A3195A"/>
    <w:rsid w:val="00A5046D"/>
    <w:rsid w:val="00A53114"/>
    <w:rsid w:val="00A71F63"/>
    <w:rsid w:val="00A75080"/>
    <w:rsid w:val="00AC5074"/>
    <w:rsid w:val="00AC55BE"/>
    <w:rsid w:val="00AC7897"/>
    <w:rsid w:val="00AF17F6"/>
    <w:rsid w:val="00AF1C0C"/>
    <w:rsid w:val="00B356C5"/>
    <w:rsid w:val="00B43D88"/>
    <w:rsid w:val="00B6710F"/>
    <w:rsid w:val="00B96DD8"/>
    <w:rsid w:val="00BA20BA"/>
    <w:rsid w:val="00BB74DA"/>
    <w:rsid w:val="00BE02D8"/>
    <w:rsid w:val="00C0038B"/>
    <w:rsid w:val="00C05ED8"/>
    <w:rsid w:val="00C17BB7"/>
    <w:rsid w:val="00C6698C"/>
    <w:rsid w:val="00CA796D"/>
    <w:rsid w:val="00CF252A"/>
    <w:rsid w:val="00D43120"/>
    <w:rsid w:val="00D63BAC"/>
    <w:rsid w:val="00DB44C8"/>
    <w:rsid w:val="00DC42CD"/>
    <w:rsid w:val="00E510D8"/>
    <w:rsid w:val="00E645EA"/>
    <w:rsid w:val="00E67F9C"/>
    <w:rsid w:val="00E76803"/>
    <w:rsid w:val="00E826AF"/>
    <w:rsid w:val="00E956A5"/>
    <w:rsid w:val="00ED01B9"/>
    <w:rsid w:val="00F0113F"/>
    <w:rsid w:val="00F03236"/>
    <w:rsid w:val="00F05B7C"/>
    <w:rsid w:val="00F2274B"/>
    <w:rsid w:val="00F733EF"/>
    <w:rsid w:val="00F763A1"/>
    <w:rsid w:val="00FA6279"/>
    <w:rsid w:val="00FA72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5188"/>
  <w15:chartTrackingRefBased/>
  <w15:docId w15:val="{D456051F-E570-42E8-8050-4358AE4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612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5A42"/>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9E5A42"/>
  </w:style>
  <w:style w:type="paragraph" w:styleId="Footer">
    <w:name w:val="footer"/>
    <w:basedOn w:val="Normal"/>
    <w:link w:val="FooterChar"/>
    <w:unhideWhenUsed/>
    <w:rsid w:val="009E5A42"/>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5A42"/>
  </w:style>
  <w:style w:type="paragraph" w:styleId="BalloonText">
    <w:name w:val="Balloon Text"/>
    <w:basedOn w:val="Normal"/>
    <w:link w:val="BalloonTextChar"/>
    <w:uiPriority w:val="99"/>
    <w:semiHidden/>
    <w:unhideWhenUsed/>
    <w:rsid w:val="009E5A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5A42"/>
    <w:rPr>
      <w:rFonts w:ascii="Tahoma" w:hAnsi="Tahoma" w:cs="Tahoma"/>
      <w:sz w:val="16"/>
      <w:szCs w:val="16"/>
    </w:rPr>
  </w:style>
  <w:style w:type="character" w:styleId="Hyperlink">
    <w:name w:val="Hyperlink"/>
    <w:rsid w:val="009E5A42"/>
    <w:rPr>
      <w:color w:val="0000FF"/>
      <w:u w:val="single"/>
    </w:rPr>
  </w:style>
  <w:style w:type="paragraph" w:styleId="NormalWeb">
    <w:name w:val="Normal (Web)"/>
    <w:basedOn w:val="Normal"/>
    <w:uiPriority w:val="99"/>
    <w:unhideWhenUsed/>
    <w:rsid w:val="001B6A9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negrita">
    <w:name w:val="f__negrita"/>
    <w:basedOn w:val="DefaultParagraphFont"/>
    <w:rsid w:val="001B6A92"/>
  </w:style>
  <w:style w:type="character" w:customStyle="1" w:styleId="fcampos">
    <w:name w:val="f__campos"/>
    <w:basedOn w:val="DefaultParagraphFont"/>
    <w:rsid w:val="001B6A92"/>
  </w:style>
  <w:style w:type="paragraph" w:customStyle="1" w:styleId="ListParagraph1">
    <w:name w:val="List Paragraph1"/>
    <w:basedOn w:val="Normal"/>
    <w:uiPriority w:val="34"/>
    <w:qFormat/>
    <w:rsid w:val="001B6A92"/>
    <w:pPr>
      <w:ind w:left="720"/>
      <w:contextualSpacing/>
    </w:pPr>
  </w:style>
  <w:style w:type="table" w:styleId="TableGrid">
    <w:name w:val="Table Grid"/>
    <w:basedOn w:val="TableNormal"/>
    <w:uiPriority w:val="59"/>
    <w:rsid w:val="00395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rsid w:val="00502C35"/>
    <w:rPr>
      <w:color w:val="0000FF"/>
      <w:u w:val="single"/>
    </w:rPr>
  </w:style>
  <w:style w:type="paragraph" w:styleId="Title">
    <w:name w:val="Title"/>
    <w:basedOn w:val="Normal"/>
    <w:link w:val="TitleChar"/>
    <w:qFormat/>
    <w:rsid w:val="00502C35"/>
    <w:pPr>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ES"/>
    </w:rPr>
  </w:style>
  <w:style w:type="character" w:customStyle="1" w:styleId="TitleChar">
    <w:name w:val="Title Char"/>
    <w:link w:val="Title"/>
    <w:rsid w:val="00502C35"/>
    <w:rPr>
      <w:rFonts w:ascii="Arial" w:eastAsia="Times New Roman" w:hAnsi="Arial"/>
      <w:b/>
      <w:sz w:val="24"/>
      <w:lang w:val="es-ES_tradnl" w:eastAsia="es-ES"/>
    </w:rPr>
  </w:style>
  <w:style w:type="character" w:customStyle="1" w:styleId="text-grl">
    <w:name w:val="text-grl"/>
    <w:basedOn w:val="DefaultParagraphFont"/>
    <w:rsid w:val="00502C35"/>
  </w:style>
  <w:style w:type="paragraph" w:styleId="ListParagraph">
    <w:name w:val="List Paragraph"/>
    <w:basedOn w:val="Normal"/>
    <w:uiPriority w:val="34"/>
    <w:qFormat/>
    <w:rsid w:val="00000B39"/>
    <w:pPr>
      <w:ind w:left="720"/>
      <w:contextualSpacing/>
    </w:pPr>
  </w:style>
  <w:style w:type="character" w:customStyle="1" w:styleId="fresaltado">
    <w:name w:val="f__resaltado"/>
    <w:basedOn w:val="DefaultParagraphFont"/>
    <w:rsid w:val="00000B39"/>
  </w:style>
  <w:style w:type="character" w:customStyle="1" w:styleId="fcampito">
    <w:name w:val="f__campito"/>
    <w:basedOn w:val="DefaultParagraphFont"/>
    <w:rsid w:val="00000B39"/>
  </w:style>
  <w:style w:type="character" w:customStyle="1" w:styleId="fvietas">
    <w:name w:val="f_viñetas"/>
    <w:basedOn w:val="DefaultParagraphFont"/>
    <w:rsid w:val="00000B39"/>
  </w:style>
  <w:style w:type="paragraph" w:styleId="NoSpacing">
    <w:name w:val="No Spacing"/>
    <w:uiPriority w:val="1"/>
    <w:qFormat/>
    <w:rsid w:val="00000B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12429">
      <w:bodyDiv w:val="1"/>
      <w:marLeft w:val="0"/>
      <w:marRight w:val="0"/>
      <w:marTop w:val="0"/>
      <w:marBottom w:val="0"/>
      <w:divBdr>
        <w:top w:val="none" w:sz="0" w:space="0" w:color="auto"/>
        <w:left w:val="none" w:sz="0" w:space="0" w:color="auto"/>
        <w:bottom w:val="none" w:sz="0" w:space="0" w:color="auto"/>
        <w:right w:val="none" w:sz="0" w:space="0" w:color="auto"/>
      </w:divBdr>
    </w:div>
    <w:div w:id="561864640">
      <w:bodyDiv w:val="1"/>
      <w:marLeft w:val="0"/>
      <w:marRight w:val="0"/>
      <w:marTop w:val="0"/>
      <w:marBottom w:val="0"/>
      <w:divBdr>
        <w:top w:val="none" w:sz="0" w:space="0" w:color="auto"/>
        <w:left w:val="none" w:sz="0" w:space="0" w:color="auto"/>
        <w:bottom w:val="none" w:sz="0" w:space="0" w:color="auto"/>
        <w:right w:val="none" w:sz="0" w:space="0" w:color="auto"/>
      </w:divBdr>
    </w:div>
    <w:div w:id="817569848">
      <w:bodyDiv w:val="1"/>
      <w:marLeft w:val="0"/>
      <w:marRight w:val="0"/>
      <w:marTop w:val="0"/>
      <w:marBottom w:val="0"/>
      <w:divBdr>
        <w:top w:val="none" w:sz="0" w:space="0" w:color="auto"/>
        <w:left w:val="none" w:sz="0" w:space="0" w:color="auto"/>
        <w:bottom w:val="none" w:sz="0" w:space="0" w:color="auto"/>
        <w:right w:val="none" w:sz="0" w:space="0" w:color="auto"/>
      </w:divBdr>
    </w:div>
    <w:div w:id="1462767919">
      <w:bodyDiv w:val="1"/>
      <w:marLeft w:val="0"/>
      <w:marRight w:val="0"/>
      <w:marTop w:val="0"/>
      <w:marBottom w:val="0"/>
      <w:divBdr>
        <w:top w:val="none" w:sz="0" w:space="0" w:color="auto"/>
        <w:left w:val="none" w:sz="0" w:space="0" w:color="auto"/>
        <w:bottom w:val="none" w:sz="0" w:space="0" w:color="auto"/>
        <w:right w:val="none" w:sz="0" w:space="0" w:color="auto"/>
      </w:divBdr>
    </w:div>
    <w:div w:id="1508326224">
      <w:bodyDiv w:val="1"/>
      <w:marLeft w:val="0"/>
      <w:marRight w:val="0"/>
      <w:marTop w:val="0"/>
      <w:marBottom w:val="0"/>
      <w:divBdr>
        <w:top w:val="none" w:sz="0" w:space="0" w:color="auto"/>
        <w:left w:val="none" w:sz="0" w:space="0" w:color="auto"/>
        <w:bottom w:val="none" w:sz="0" w:space="0" w:color="auto"/>
        <w:right w:val="none" w:sz="0" w:space="0" w:color="auto"/>
      </w:divBdr>
    </w:div>
    <w:div w:id="1577548104">
      <w:bodyDiv w:val="1"/>
      <w:marLeft w:val="0"/>
      <w:marRight w:val="0"/>
      <w:marTop w:val="0"/>
      <w:marBottom w:val="0"/>
      <w:divBdr>
        <w:top w:val="none" w:sz="0" w:space="0" w:color="auto"/>
        <w:left w:val="none" w:sz="0" w:space="0" w:color="auto"/>
        <w:bottom w:val="none" w:sz="0" w:space="0" w:color="auto"/>
        <w:right w:val="none" w:sz="0" w:space="0" w:color="auto"/>
      </w:divBdr>
    </w:div>
    <w:div w:id="1683778055">
      <w:bodyDiv w:val="1"/>
      <w:marLeft w:val="0"/>
      <w:marRight w:val="0"/>
      <w:marTop w:val="0"/>
      <w:marBottom w:val="0"/>
      <w:divBdr>
        <w:top w:val="none" w:sz="0" w:space="0" w:color="auto"/>
        <w:left w:val="none" w:sz="0" w:space="0" w:color="auto"/>
        <w:bottom w:val="none" w:sz="0" w:space="0" w:color="auto"/>
        <w:right w:val="none" w:sz="0" w:space="0" w:color="auto"/>
      </w:divBdr>
    </w:div>
    <w:div w:id="1831173494">
      <w:bodyDiv w:val="1"/>
      <w:marLeft w:val="0"/>
      <w:marRight w:val="0"/>
      <w:marTop w:val="0"/>
      <w:marBottom w:val="0"/>
      <w:divBdr>
        <w:top w:val="none" w:sz="0" w:space="0" w:color="auto"/>
        <w:left w:val="none" w:sz="0" w:space="0" w:color="auto"/>
        <w:bottom w:val="none" w:sz="0" w:space="0" w:color="auto"/>
        <w:right w:val="none" w:sz="0" w:space="0" w:color="auto"/>
      </w:divBdr>
    </w:div>
    <w:div w:id="1883790127">
      <w:bodyDiv w:val="1"/>
      <w:marLeft w:val="0"/>
      <w:marRight w:val="0"/>
      <w:marTop w:val="0"/>
      <w:marBottom w:val="0"/>
      <w:divBdr>
        <w:top w:val="none" w:sz="0" w:space="0" w:color="auto"/>
        <w:left w:val="none" w:sz="0" w:space="0" w:color="auto"/>
        <w:bottom w:val="none" w:sz="0" w:space="0" w:color="auto"/>
        <w:right w:val="none" w:sz="0" w:space="0" w:color="auto"/>
      </w:divBdr>
    </w:div>
    <w:div w:id="1962762355">
      <w:bodyDiv w:val="1"/>
      <w:marLeft w:val="0"/>
      <w:marRight w:val="0"/>
      <w:marTop w:val="0"/>
      <w:marBottom w:val="0"/>
      <w:divBdr>
        <w:top w:val="none" w:sz="0" w:space="0" w:color="auto"/>
        <w:left w:val="none" w:sz="0" w:space="0" w:color="auto"/>
        <w:bottom w:val="none" w:sz="0" w:space="0" w:color="auto"/>
        <w:right w:val="none" w:sz="0" w:space="0" w:color="auto"/>
      </w:divBdr>
    </w:div>
    <w:div w:id="2065255738">
      <w:bodyDiv w:val="1"/>
      <w:marLeft w:val="0"/>
      <w:marRight w:val="0"/>
      <w:marTop w:val="0"/>
      <w:marBottom w:val="0"/>
      <w:divBdr>
        <w:top w:val="none" w:sz="0" w:space="0" w:color="auto"/>
        <w:left w:val="none" w:sz="0" w:space="0" w:color="auto"/>
        <w:bottom w:val="none" w:sz="0" w:space="0" w:color="auto"/>
        <w:right w:val="none" w:sz="0" w:space="0" w:color="auto"/>
      </w:divBdr>
    </w:div>
    <w:div w:id="20675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cid:image014.png@01D22EC1.B4B2D3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xoft.com" TargetMode="External"/><Relationship Id="rId1" Type="http://schemas.openxmlformats.org/officeDocument/2006/relationships/hyperlink" Target="mailto:servicios@ax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ag\Escritorio\DOC%20WEB\Documento%20de%20Axo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Documento de Axoft.dot</Template>
  <TotalTime>35</TotalTime>
  <Pages>9</Pages>
  <Words>1050</Words>
  <Characters>5778</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CIRCUITO DE REGISTRACION DE IVA DE EXTRACTO BANCARIO</vt:lpstr>
      <vt:lpstr>CIRCUITO DE REGISTRACION DE IVA DE EXTRACTO BANCARIO</vt:lpstr>
    </vt:vector>
  </TitlesOfParts>
  <Company/>
  <LinksUpToDate>false</LinksUpToDate>
  <CharactersWithSpaces>6815</CharactersWithSpaces>
  <SharedDoc>false</SharedDoc>
  <HLinks>
    <vt:vector size="12" baseType="variant">
      <vt:variant>
        <vt:i4>6225935</vt:i4>
      </vt:variant>
      <vt:variant>
        <vt:i4>3</vt:i4>
      </vt:variant>
      <vt:variant>
        <vt:i4>0</vt:i4>
      </vt:variant>
      <vt:variant>
        <vt:i4>5</vt:i4>
      </vt:variant>
      <vt:variant>
        <vt:lpwstr>http://www.axoft.com/</vt:lpwstr>
      </vt:variant>
      <vt:variant>
        <vt:lpwstr/>
      </vt:variant>
      <vt:variant>
        <vt:i4>6553674</vt:i4>
      </vt:variant>
      <vt:variant>
        <vt:i4>0</vt:i4>
      </vt:variant>
      <vt:variant>
        <vt:i4>0</vt:i4>
      </vt:variant>
      <vt:variant>
        <vt:i4>5</vt:i4>
      </vt:variant>
      <vt:variant>
        <vt:lpwstr>mailto:servicios@axoft.com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CIRCUITO DE REGISTRACION DE IVA DE EXTRACTO BANCARIO</dc:title>
  <dc:subject/>
  <dc:creator>melinag</dc:creator>
  <cp:keywords/>
  <cp:lastModifiedBy>Marcos Novo</cp:lastModifiedBy>
  <cp:revision>4</cp:revision>
  <cp:lastPrinted>2016-10-28T22:40:00Z</cp:lastPrinted>
  <dcterms:created xsi:type="dcterms:W3CDTF">2016-10-31T12:28:00Z</dcterms:created>
  <dcterms:modified xsi:type="dcterms:W3CDTF">2016-11-02T18:59:00Z</dcterms:modified>
</cp:coreProperties>
</file>